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52.png" ContentType="image/png"/>
  <Override PartName="/word/media/rId64.png" ContentType="image/png"/>
  <Override PartName="/word/media/rId48.png" ContentType="image/png"/>
  <Override PartName="/word/media/rId72.png" ContentType="image/png"/>
  <Override PartName="/word/media/rId56.png" ContentType="image/png"/>
  <Override PartName="/word/media/rId68.png" ContentType="image/png"/>
  <Override PartName="/word/media/rId78.png" ContentType="image/png"/>
  <Override PartName="/word/media/rId136.png" ContentType="image/png"/>
  <Override PartName="/word/media/rId132.png" ContentType="image/png"/>
  <Override PartName="/word/media/rId109.png" ContentType="image/png"/>
  <Override PartName="/word/media/rId122.png" ContentType="image/png"/>
  <Override PartName="/word/media/rId127.png" ContentType="image/png"/>
  <Override PartName="/word/media/rId87.png" ContentType="image/png"/>
  <Override PartName="/word/media/rId96.png" ContentType="image/png"/>
  <Override PartName="/word/media/rId100.png" ContentType="image/png"/>
  <Override PartName="/word/media/rId145.png" ContentType="image/png"/>
  <Override PartName="/word/media/rId23.png" ContentType="image/png"/>
  <Override PartName="/word/media/rId39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44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167.png" ContentType="image/png"/>
  <Override PartName="/word/media/rId83.png" ContentType="image/png"/>
  <Override PartName="/word/media/rId92.png" ContentType="image/png"/>
  <Override PartName="/word/media/rId105.png" ContentType="image/png"/>
  <Override PartName="/word/media/rId114.png" ContentType="image/png"/>
  <Override PartName="/word/media/rId118.png" ContentType="image/png"/>
  <Override PartName="/word/media/rId1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Реализация модели болезни в агентном подходе</w:t>
      </w:r>
    </w:p>
    <w:p>
      <w:pPr>
        <w:pStyle w:val="Author"/>
      </w:pPr>
      <w:r>
        <w:t xml:space="preserve">Курилко-Рюмин Евгений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— реализовать модель болезни</w:t>
      </w:r>
      <w:r>
        <w:t xml:space="preserve"> </w:t>
      </w:r>
      <w:r>
        <w:rPr>
          <w:rStyle w:val="VerbatimChar"/>
        </w:rPr>
        <w:t xml:space="preserve">SIR</w:t>
      </w:r>
      <w:r>
        <w:t xml:space="preserve"> </w:t>
      </w:r>
      <w:r>
        <w:t xml:space="preserve">в агентном подходе с</w:t>
      </w:r>
      <w:r>
        <w:t xml:space="preserve"> </w:t>
      </w:r>
      <w:r>
        <w:t xml:space="preserve">использованием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, выполнить основной и дополнительный сценарии,</w:t>
      </w:r>
      <w:r>
        <w:t xml:space="preserve"> </w:t>
      </w:r>
      <w:r>
        <w:t xml:space="preserve">сгенерировать из literate-кода чистые скрипты,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-документацию, а затем включить результаты в отчёт.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лабораторной работы;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 Julia;</w:t>
      </w:r>
    </w:p>
    <w:p>
      <w:pPr>
        <w:pStyle w:val="Compact"/>
        <w:numPr>
          <w:ilvl w:val="0"/>
          <w:numId w:val="1001"/>
        </w:numPr>
      </w:pPr>
      <w:r>
        <w:t xml:space="preserve">реализовать агентную модель болезни</w:t>
      </w:r>
      <w:r>
        <w:t xml:space="preserve"> </w:t>
      </w:r>
      <w:r>
        <w:rPr>
          <w:rStyle w:val="VerbatimChar"/>
        </w:rPr>
        <w:t xml:space="preserve">SIR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сценарий моделирования;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стиль;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literate-кода чистый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qmd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выполнить сгенерированные notebook;</w:t>
      </w:r>
    </w:p>
    <w:p>
      <w:pPr>
        <w:pStyle w:val="Compact"/>
        <w:numPr>
          <w:ilvl w:val="0"/>
          <w:numId w:val="1001"/>
        </w:numPr>
      </w:pPr>
      <w:r>
        <w:t xml:space="preserve">добавить дополнительный сценарий с набором параметров;</w:t>
      </w:r>
    </w:p>
    <w:p>
      <w:pPr>
        <w:pStyle w:val="Compact"/>
        <w:numPr>
          <w:ilvl w:val="0"/>
          <w:numId w:val="1001"/>
        </w:numPr>
      </w:pPr>
      <w:r>
        <w:t xml:space="preserve">включить результаты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rPr>
          <w:rStyle w:val="VerbatimChar"/>
        </w:rPr>
        <w:t xml:space="preserve">SIR</w:t>
      </w:r>
      <w:r>
        <w:t xml:space="preserve"> </w:t>
      </w:r>
      <w:r>
        <w:t xml:space="preserve">делит популяцию на три группы: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В агентной постановке каждый человек представляется отдельным агентом. На</w:t>
      </w:r>
      <w:r>
        <w:t xml:space="preserve"> </w:t>
      </w:r>
      <w:r>
        <w:t xml:space="preserve">каждом шаге моделирования заражённый агент может передать инфекцию другим</w:t>
      </w:r>
      <w:r>
        <w:t xml:space="preserve"> </w:t>
      </w:r>
      <w:r>
        <w:t xml:space="preserve">агентам, а затем либо продолжить болеть, либо перейти в состояние</w:t>
      </w:r>
      <w:r>
        <w:t xml:space="preserve"> </w:t>
      </w:r>
      <w:r>
        <w:t xml:space="preserve">выздоровления. Такой подход позволяет изучать распространение болезни как</w:t>
      </w:r>
      <w:r>
        <w:t xml:space="preserve"> </w:t>
      </w:r>
      <w:r>
        <w:t xml:space="preserve">результат множества локальных взаимодействий между агентами.</w:t>
      </w:r>
    </w:p>
    <w:p>
      <w:pPr>
        <w:pStyle w:val="BodyText"/>
      </w:pPr>
      <w:r>
        <w:t xml:space="preserve">В дискретной реализации ключевую роль играют три параметра:</w:t>
      </w:r>
    </w:p>
    <w:p>
      <w:pPr>
        <w:pStyle w:val="Compact"/>
        <w:numPr>
          <w:ilvl w:val="0"/>
          <w:numId w:val="1003"/>
        </w:numPr>
      </w:pPr>
      <w:r>
        <w:t xml:space="preserve">вероятность передачи инфекции</w:t>
      </w:r>
      <w:r>
        <w:t xml:space="preserve"> </w:t>
      </w:r>
      <w:r>
        <w:rPr>
          <w:rStyle w:val="VerbatimChar"/>
        </w:rPr>
        <w:t xml:space="preserve">beta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число контактов одного агента за шаг</w:t>
      </w:r>
      <w:r>
        <w:t xml:space="preserve"> </w:t>
      </w:r>
      <w:r>
        <w:rPr>
          <w:rStyle w:val="VerbatimChar"/>
        </w:rPr>
        <w:t xml:space="preserve">contacts_per_day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вероятность выздоровления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.</w:t>
      </w:r>
    </w:p>
    <w:p>
      <w:pPr>
        <w:pStyle w:val="FirstParagraph"/>
      </w:pPr>
      <w:r>
        <w:t xml:space="preserve">Для базовой оценки скорости распространения инфекции используется</w:t>
      </w:r>
      <w:r>
        <w:t xml:space="preserve"> </w:t>
      </w:r>
      <w:r>
        <w:t xml:space="preserve">репродуктивное число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contacts_per_day</m:t>
              </m:r>
              <m:r>
                <m:rPr>
                  <m:sty m:val="p"/>
                </m:rPr>
                <m:t>⋅</m:t>
              </m:r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 в популяции уменьшается число восприимчивых, то эффективное</w:t>
      </w:r>
      <w:r>
        <w:t xml:space="preserve"> </w:t>
      </w:r>
      <w:r>
        <w:t xml:space="preserve">репродуктивное число падает по закону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Как только</w:t>
      </w:r>
      <w:r>
        <w:t xml:space="preserve"> </w:t>
      </w:r>
      <w:r>
        <w:rPr>
          <w:rStyle w:val="VerbatimChar"/>
        </w:rPr>
        <w:t xml:space="preserve">R_e(t) &lt; 1</w:t>
      </w:r>
      <w:r>
        <w:t xml:space="preserve">, эпидемическая волна начинает затухать: каждый</w:t>
      </w:r>
      <w:r>
        <w:t xml:space="preserve"> </w:t>
      </w:r>
      <w:r>
        <w:t xml:space="preserve">инфицированный в среднем заражает менее одного нового агента. Именно поэтому</w:t>
      </w:r>
      <w:r>
        <w:t xml:space="preserve"> </w:t>
      </w:r>
      <w:r>
        <w:t xml:space="preserve">на графиках SIR-модели максимум функции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обычно достигается раньше, чем</w:t>
      </w:r>
      <w:r>
        <w:t xml:space="preserve"> </w:t>
      </w:r>
      <w:r>
        <w:t xml:space="preserve">исчерпывается запас восприимчивых агентов.</w:t>
      </w:r>
    </w:p>
    <w:p>
      <w:pPr>
        <w:pStyle w:val="BodyText"/>
      </w:pPr>
      <w:r>
        <w:t xml:space="preserve">В программной реализации заражения и выздоровления сначала накапливаются во</w:t>
      </w:r>
      <w:r>
        <w:t xml:space="preserve"> </w:t>
      </w:r>
      <w:r>
        <w:t xml:space="preserve">временных списках, а затем применяются на шаге модели. Такое синхронное</w:t>
      </w:r>
      <w:r>
        <w:t xml:space="preserve"> </w:t>
      </w:r>
      <w:r>
        <w:t xml:space="preserve">обновление позволяет избежать зависимости результата от порядка обхода агентов</w:t>
      </w:r>
      <w:r>
        <w:t xml:space="preserve"> </w:t>
      </w:r>
      <w:r>
        <w:t xml:space="preserve">внутри одного такта.</w:t>
      </w:r>
    </w:p>
    <w:p>
      <w:pPr>
        <w:pStyle w:val="BodyText"/>
      </w:pPr>
      <w:r>
        <w:t xml:space="preserve">В дополнительной части работы используется расширенная многогородная</w:t>
      </w:r>
      <w:r>
        <w:t xml:space="preserve"> </w:t>
      </w:r>
      <w:r>
        <w:t xml:space="preserve">SIR-модель. Агенты размещаются в нескольких городах и могут мигрировать между</w:t>
      </w:r>
      <w:r>
        <w:t xml:space="preserve"> </w:t>
      </w:r>
      <w:r>
        <w:t xml:space="preserve">ними согласно матрице вероятностей</w:t>
      </w:r>
      <w:r>
        <w:t xml:space="preserve"> </w:t>
      </w:r>
      <w:r>
        <w:rPr>
          <w:rStyle w:val="VerbatimChar"/>
        </w:rPr>
        <w:t xml:space="preserve">migration_rates</w:t>
      </w:r>
      <w:r>
        <w:t xml:space="preserve">. До обнаружения болезни</w:t>
      </w:r>
      <w:r>
        <w:t xml:space="preserve"> </w:t>
      </w:r>
      <w:r>
        <w:t xml:space="preserve">действует интенсивность передачи</w:t>
      </w:r>
      <w:r>
        <w:t xml:space="preserve"> </w:t>
      </w:r>
      <w:r>
        <w:rPr>
          <w:rStyle w:val="VerbatimChar"/>
        </w:rPr>
        <w:t xml:space="preserve">β_und</w:t>
      </w:r>
      <w:r>
        <w:t xml:space="preserve">, после обнаружения — более низкая</w:t>
      </w:r>
      <w:r>
        <w:t xml:space="preserve"> </w:t>
      </w:r>
      <w:r>
        <w:t xml:space="preserve">интенсивность</w:t>
      </w:r>
      <w:r>
        <w:t xml:space="preserve"> </w:t>
      </w:r>
      <w:r>
        <w:rPr>
          <w:rStyle w:val="VerbatimChar"/>
        </w:rPr>
        <w:t xml:space="preserve">β_det</w:t>
      </w:r>
      <w:r>
        <w:t xml:space="preserve">. После завершения периода болезни агент либо</w:t>
      </w:r>
      <w:r>
        <w:t xml:space="preserve"> </w:t>
      </w:r>
      <w:r>
        <w:t xml:space="preserve">выздоравливает, либо выбывает из популяции как умерший, а для переболевших</w:t>
      </w:r>
      <w:r>
        <w:t xml:space="preserve"> </w:t>
      </w:r>
      <w:r>
        <w:t xml:space="preserve">допускается повторное заражение с вероятностью</w:t>
      </w:r>
      <w:r>
        <w:t xml:space="preserve"> </w:t>
      </w:r>
      <w:r>
        <w:rPr>
          <w:rStyle w:val="VerbatimChar"/>
        </w:rPr>
        <w:t xml:space="preserve">reinfection_probability</w:t>
      </w:r>
      <w:r>
        <w:t xml:space="preserve">. Такое расширение позволяет исследовать влияние</w:t>
      </w:r>
      <w:r>
        <w:t xml:space="preserve"> </w:t>
      </w:r>
      <w:r>
        <w:t xml:space="preserve">миграции, неоднородности городов и управляющих мер на форму эпидемической</w:t>
      </w:r>
      <w:r>
        <w:t xml:space="preserve"> </w:t>
      </w:r>
      <w:r>
        <w:t xml:space="preserve">кривой.</w:t>
      </w:r>
    </w:p>
    <w:bookmarkEnd w:id="22"/>
    <w:bookmarkStart w:id="17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подготовка-проекта"/>
    <w:p>
      <w:pPr>
        <w:pStyle w:val="Heading2"/>
      </w:pPr>
      <w:r>
        <w:t xml:space="preserve">4.1 Подготовка проекта</w:t>
      </w:r>
    </w:p>
    <w:p>
      <w:pPr>
        <w:pStyle w:val="FirstParagraph"/>
      </w:pPr>
      <w:r>
        <w:t xml:space="preserve">Для лабораторной работы использован каталог</w:t>
      </w:r>
      <w:r>
        <w:t xml:space="preserve"> </w:t>
      </w:r>
      <w:r>
        <w:rPr>
          <w:rStyle w:val="VerbatimChar"/>
        </w:rPr>
        <w:t xml:space="preserve">labs/lab04/project</w:t>
      </w:r>
      <w:r>
        <w:t xml:space="preserve"> </w:t>
      </w:r>
      <w:r>
        <w:t xml:space="preserve">со структурой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 В проекте оставлены только файлы, относящиеся к модели болезни:</w:t>
      </w:r>
    </w:p>
    <w:p>
      <w:pPr>
        <w:pStyle w:val="Compact"/>
        <w:numPr>
          <w:ilvl w:val="0"/>
          <w:numId w:val="1004"/>
        </w:numPr>
      </w:pPr>
      <w:r>
        <w:t xml:space="preserve">исходник модели</w:t>
      </w:r>
      <w:r>
        <w:t xml:space="preserve"> </w:t>
      </w:r>
      <w:r>
        <w:rPr>
          <w:rStyle w:val="VerbatimChar"/>
        </w:rPr>
        <w:t xml:space="preserve">src/sir_agents_model.jl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базовый literate-скрипт</w:t>
      </w:r>
      <w:r>
        <w:t xml:space="preserve"> </w:t>
      </w:r>
      <w:r>
        <w:rPr>
          <w:rStyle w:val="VerbatimChar"/>
        </w:rPr>
        <w:t xml:space="preserve">scripts/01_sir_agents.jl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параметрический literate-скрипт</w:t>
      </w:r>
      <w:r>
        <w:t xml:space="preserve"> </w:t>
      </w:r>
      <w:r>
        <w:rPr>
          <w:rStyle w:val="VerbatimChar"/>
        </w:rPr>
        <w:t xml:space="preserve">scripts/02_sir_agents_param.jl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генератор производных форматов</w:t>
      </w:r>
      <w:r>
        <w:t xml:space="preserve"> </w:t>
      </w:r>
      <w:r>
        <w:rPr>
          <w:rStyle w:val="VerbatimChar"/>
        </w:rPr>
        <w:t xml:space="preserve">scripts/generate_all.jl</w:t>
      </w:r>
      <w:r>
        <w:t xml:space="preserve">.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lab04-julia-start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показан запуск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в каталоге проекта.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lab04-julia-start"/>
          <w:p>
            <w:pPr>
              <w:pStyle w:val="Compact"/>
              <w:jc w:val="center"/>
            </w:pPr>
            <w:r>
              <w:drawing>
                <wp:inline>
                  <wp:extent cx="3733800" cy="144238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2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Julia REPL в каталоге проекта</w:t>
            </w:r>
          </w:p>
          <w:bookmarkEnd w:id="26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4-pkg-mode">
        <w:r>
          <w:rPr>
            <w:rStyle w:val="Hyperlink"/>
          </w:rPr>
          <w:t xml:space="preserve">рис. 2</w:t>
        </w:r>
      </w:hyperlink>
      <w:r>
        <w:t xml:space="preserve"> </w:t>
      </w:r>
      <w:r>
        <w:t xml:space="preserve">показан переход к настройке зависимостей через</w:t>
      </w:r>
      <w:r>
        <w:t xml:space="preserve"> </w:t>
      </w:r>
      <w:r>
        <w:rPr>
          <w:rStyle w:val="VerbatimChar"/>
        </w:rPr>
        <w:t xml:space="preserve">Pkg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lab04-pkg-mode"/>
          <w:p>
            <w:pPr>
              <w:pStyle w:val="Compact"/>
              <w:jc w:val="center"/>
            </w:pPr>
            <w:r>
              <w:drawing>
                <wp:inline>
                  <wp:extent cx="3733800" cy="71443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4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Переход к настройке пакетов в Julia REPL</w:t>
            </w:r>
          </w:p>
          <w:bookmarkEnd w:id="30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4-activate">
        <w:r>
          <w:rPr>
            <w:rStyle w:val="Hyperlink"/>
          </w:rPr>
          <w:t xml:space="preserve">рис. 3</w:t>
        </w:r>
      </w:hyperlink>
      <w:r>
        <w:t xml:space="preserve"> </w:t>
      </w:r>
      <w:r>
        <w:t xml:space="preserve">показана активация окружения проекта</w:t>
      </w:r>
      <w:r>
        <w:t xml:space="preserve"> </w:t>
      </w:r>
      <w:r>
        <w:rPr>
          <w:rStyle w:val="VerbatimChar"/>
        </w:rPr>
        <w:t xml:space="preserve">labs/lab04/project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lab04-activate"/>
          <w:p>
            <w:pPr>
              <w:pStyle w:val="Compact"/>
              <w:jc w:val="center"/>
            </w:pPr>
            <w:r>
              <w:drawing>
                <wp:inline>
                  <wp:extent cx="3733800" cy="71443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4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Активация Julia-проекта lab04</w:t>
            </w:r>
          </w:p>
          <w:bookmarkEnd w:id="34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4-deps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показана установка и проверка основных зависимостей</w:t>
      </w:r>
      <w:r>
        <w:t xml:space="preserve"> </w:t>
      </w:r>
      <w:r>
        <w:t xml:space="preserve">проекта.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lab04-deps"/>
          <w:p>
            <w:pPr>
              <w:pStyle w:val="Compact"/>
              <w:jc w:val="center"/>
            </w:pPr>
            <w:r>
              <w:drawing>
                <wp:inline>
                  <wp:extent cx="4000500" cy="13369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36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и проверка зависимостей проекта</w:t>
            </w:r>
          </w:p>
          <w:bookmarkEnd w:id="38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4-edit">
        <w:r>
          <w:rPr>
            <w:rStyle w:val="Hyperlink"/>
          </w:rPr>
          <w:t xml:space="preserve">рис. 5</w:t>
        </w:r>
      </w:hyperlink>
      <w:r>
        <w:t xml:space="preserve"> </w:t>
      </w:r>
      <w:r>
        <w:t xml:space="preserve">показано редактирование исходных файлов и</w:t>
      </w:r>
      <w:r>
        <w:t xml:space="preserve"> </w:t>
      </w:r>
      <w:r>
        <w:t xml:space="preserve">исследовательских скриптов проекта.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lab04-edit"/>
          <w:p>
            <w:pPr>
              <w:pStyle w:val="Compact"/>
              <w:jc w:val="center"/>
            </w:pPr>
            <w:r>
              <w:drawing>
                <wp:inline>
                  <wp:extent cx="4800600" cy="129197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91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Редактирование исходных файлов и скриптов проекта</w:t>
            </w:r>
          </w:p>
          <w:bookmarkEnd w:id="42"/>
        </w:tc>
      </w:tr>
    </w:tbl>
    <w:bookmarkEnd w:id="43"/>
    <w:bookmarkStart w:id="76" w:name="базовый-сценарий-sir"/>
    <w:p>
      <w:pPr>
        <w:pStyle w:val="Heading2"/>
      </w:pPr>
      <w:r>
        <w:t xml:space="preserve">4.2 Базовый сценарий SIR</w:t>
      </w:r>
    </w:p>
    <w:p>
      <w:pPr>
        <w:pStyle w:val="FirstParagraph"/>
      </w:pPr>
      <w:r>
        <w:t xml:space="preserve">В базовом эксперименте использованы параметры:</w:t>
      </w:r>
    </w:p>
    <w:p>
      <w:pPr>
        <w:pStyle w:val="Compact"/>
        <w:numPr>
          <w:ilvl w:val="0"/>
          <w:numId w:val="1005"/>
        </w:numPr>
      </w:pPr>
      <w:r>
        <w:t xml:space="preserve">размер популяции</w:t>
      </w:r>
      <w:r>
        <w:t xml:space="preserve"> </w:t>
      </w:r>
      <w:r>
        <w:rPr>
          <w:rStyle w:val="VerbatimChar"/>
        </w:rPr>
        <w:t xml:space="preserve">1000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начально инфицированных</w:t>
      </w:r>
      <w:r>
        <w:t xml:space="preserve"> </w:t>
      </w:r>
      <w:r>
        <w:rPr>
          <w:rStyle w:val="VerbatimChar"/>
        </w:rPr>
        <w:t xml:space="preserve">10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вероятность заражения</w:t>
      </w:r>
      <w:r>
        <w:t xml:space="preserve"> </w:t>
      </w:r>
      <w:r>
        <w:rPr>
          <w:rStyle w:val="VerbatimChar"/>
        </w:rPr>
        <w:t xml:space="preserve">beta = 0.05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число контактов</w:t>
      </w:r>
      <w:r>
        <w:t xml:space="preserve"> </w:t>
      </w:r>
      <w:r>
        <w:rPr>
          <w:rStyle w:val="VerbatimChar"/>
        </w:rPr>
        <w:t xml:space="preserve">10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скорость выздоровления</w:t>
      </w:r>
      <w:r>
        <w:t xml:space="preserve"> </w:t>
      </w:r>
      <w:r>
        <w:rPr>
          <w:rStyle w:val="VerbatimChar"/>
        </w:rPr>
        <w:t xml:space="preserve">gamma = 0.25</w:t>
      </w:r>
      <w:r>
        <w:t xml:space="preserve">.</w:t>
      </w:r>
    </w:p>
    <w:p>
      <w:pPr>
        <w:pStyle w:val="FirstParagraph"/>
      </w:pPr>
      <w:r>
        <w:t xml:space="preserve">Получено базовое репродуктивное число</w:t>
      </w:r>
      <w:r>
        <w:t xml:space="preserve"> </w:t>
      </w:r>
      <w:r>
        <w:rPr>
          <w:rStyle w:val="VerbatimChar"/>
        </w:rPr>
        <w:t xml:space="preserve">R0 = 2.0</w:t>
      </w:r>
      <w:r>
        <w:t xml:space="preserve">. По результатам моделирования</w:t>
      </w:r>
      <w:r>
        <w:t xml:space="preserve"> </w:t>
      </w:r>
      <w:r>
        <w:t xml:space="preserve">пик заражения составил</w:t>
      </w:r>
      <w:r>
        <w:t xml:space="preserve"> </w:t>
      </w:r>
      <w:r>
        <w:rPr>
          <w:rStyle w:val="VerbatimChar"/>
        </w:rPr>
        <w:t xml:space="preserve">168</w:t>
      </w:r>
      <w:r>
        <w:t xml:space="preserve"> </w:t>
      </w:r>
      <w:r>
        <w:t xml:space="preserve">человек на</w:t>
      </w:r>
      <w:r>
        <w:t xml:space="preserve"> </w:t>
      </w:r>
      <w:r>
        <w:rPr>
          <w:rStyle w:val="VerbatimChar"/>
        </w:rPr>
        <w:t xml:space="preserve">18</w:t>
      </w:r>
      <w:r>
        <w:t xml:space="preserve">-м шаге, а число переболевших к</w:t>
      </w:r>
      <w:r>
        <w:t xml:space="preserve"> </w:t>
      </w:r>
      <w:r>
        <w:t xml:space="preserve">концу моделирования достигло</w:t>
      </w:r>
      <w:r>
        <w:t xml:space="preserve"> </w:t>
      </w:r>
      <w:r>
        <w:rPr>
          <w:rStyle w:val="VerbatimChar"/>
        </w:rPr>
        <w:t xml:space="preserve">789</w:t>
      </w:r>
      <w:r>
        <w:t xml:space="preserve">.</w:t>
      </w:r>
    </w:p>
    <w:p>
      <w:pPr>
        <w:pStyle w:val="BodyText"/>
      </w:pPr>
      <w:r>
        <w:t xml:space="preserve">На</w:t>
      </w:r>
      <w:r>
        <w:t xml:space="preserve"> </w:t>
      </w:r>
      <w:hyperlink w:anchor="fig-lab04-run-basic">
        <w:r>
          <w:rPr>
            <w:rStyle w:val="Hyperlink"/>
          </w:rPr>
          <w:t xml:space="preserve">рис. 6</w:t>
        </w:r>
      </w:hyperlink>
      <w:r>
        <w:t xml:space="preserve"> </w:t>
      </w:r>
      <w:r>
        <w:t xml:space="preserve">показан запуск базового сценария</w:t>
      </w:r>
      <w:r>
        <w:t xml:space="preserve"> </w:t>
      </w:r>
      <w:r>
        <w:rPr>
          <w:rStyle w:val="VerbatimChar"/>
        </w:rPr>
        <w:t xml:space="preserve">01_sir_agents.jl</w:t>
      </w:r>
      <w:r>
        <w:t xml:space="preserve"> </w:t>
      </w:r>
      <w:r>
        <w:t xml:space="preserve">и краткая сводка его результатов.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lab04-run-basic"/>
          <w:p>
            <w:pPr>
              <w:pStyle w:val="Compact"/>
              <w:jc w:val="center"/>
            </w:pPr>
            <w:r>
              <w:drawing>
                <wp:inline>
                  <wp:extent cx="4267200" cy="81649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16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базового сценария агентной модели SIR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sir-main"/>
          <w:p>
            <w:pPr>
              <w:pStyle w:val="Compact"/>
              <w:jc w:val="center"/>
            </w:pPr>
            <w:r>
              <w:drawing>
                <wp:inline>
                  <wp:extent cx="4800600" cy="293914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sir_agents/sir_main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39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Динамика состояний в агентной модели SIR</w:t>
            </w:r>
          </w:p>
          <w:bookmarkEnd w:id="51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sir-infected">
        <w:r>
          <w:rPr>
            <w:rStyle w:val="Hyperlink"/>
          </w:rPr>
          <w:t xml:space="preserve">рис. 8</w:t>
        </w:r>
      </w:hyperlink>
      <w:r>
        <w:t xml:space="preserve"> </w:t>
      </w:r>
      <w:r>
        <w:t xml:space="preserve">выделена отдельная кривая</w:t>
      </w:r>
      <w:r>
        <w:t xml:space="preserve"> </w:t>
      </w:r>
      <w:r>
        <w:rPr>
          <w:rStyle w:val="VerbatimChar"/>
        </w:rPr>
        <w:t xml:space="preserve">I(t)</w:t>
      </w:r>
      <w:r>
        <w:t xml:space="preserve">, по которой</w:t>
      </w:r>
      <w:r>
        <w:t xml:space="preserve"> </w:t>
      </w:r>
      <w:r>
        <w:t xml:space="preserve">удобно определять момент пика эпидемии и длительность активной фазы вспышки.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sir-infected"/>
          <w:p>
            <w:pPr>
              <w:pStyle w:val="Compact"/>
              <w:jc w:val="center"/>
            </w:pPr>
            <w:r>
              <w:drawing>
                <wp:inline>
                  <wp:extent cx="4533900" cy="2775857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sir_agents/sir_infected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775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Динамика числа инфицированных в агентной модели SIR</w:t>
            </w:r>
          </w:p>
          <w:bookmarkEnd w:id="55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sir-shares">
        <w:r>
          <w:rPr>
            <w:rStyle w:val="Hyperlink"/>
          </w:rPr>
          <w:t xml:space="preserve">рис. 9</w:t>
        </w:r>
      </w:hyperlink>
      <w:r>
        <w:t xml:space="preserve"> </w:t>
      </w:r>
      <w:r>
        <w:t xml:space="preserve">показано изменение долей популяции, а на</w:t>
      </w:r>
      <w:r>
        <w:t xml:space="preserve"> </w:t>
      </w:r>
      <w:hyperlink w:anchor="fig-sir-re">
        <w:r>
          <w:rPr>
            <w:rStyle w:val="Hyperlink"/>
          </w:rPr>
          <w:t xml:space="preserve">рис. 10</w:t>
        </w:r>
      </w:hyperlink>
      <w:r>
        <w:t xml:space="preserve"> </w:t>
      </w:r>
      <w:r>
        <w:t xml:space="preserve">— динамика эффективного репродуктивного числа.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sir-shares"/>
          <w:p>
            <w:pPr>
              <w:pStyle w:val="Compact"/>
              <w:jc w:val="center"/>
            </w:pPr>
            <w:r>
              <w:drawing>
                <wp:inline>
                  <wp:extent cx="4800600" cy="293914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sir_agents/sir_percentages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39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Доли популяции в агентной модели SIR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sir-re"/>
          <w:p>
            <w:pPr>
              <w:pStyle w:val="Compact"/>
              <w:jc w:val="center"/>
            </w:pPr>
            <w:r>
              <w:drawing>
                <wp:inline>
                  <wp:extent cx="4267200" cy="261257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sir_agents/sir_effective_R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12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Эффективное репродуктивное число в агентной модели SIR</w:t>
            </w:r>
          </w:p>
          <w:bookmarkEnd w:id="63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sir-log">
        <w:r>
          <w:rPr>
            <w:rStyle w:val="Hyperlink"/>
          </w:rPr>
          <w:t xml:space="preserve">рис. 11</w:t>
        </w:r>
      </w:hyperlink>
      <w:r>
        <w:t xml:space="preserve"> </w:t>
      </w:r>
      <w:r>
        <w:t xml:space="preserve">число инфицированных представлено в логарифмическом</w:t>
      </w:r>
      <w:r>
        <w:t xml:space="preserve"> </w:t>
      </w:r>
      <w:r>
        <w:t xml:space="preserve">масштабе. Такой способ визуализации делает лучше заметной раннюю фазу роста,</w:t>
      </w:r>
      <w:r>
        <w:t xml:space="preserve"> </w:t>
      </w:r>
      <w:r>
        <w:t xml:space="preserve">когда абсолютное число заражённых ещё мало, но тенденция к экспоненциальному</w:t>
      </w:r>
      <w:r>
        <w:t xml:space="preserve"> </w:t>
      </w:r>
      <w:r>
        <w:t xml:space="preserve">увеличению уже выражена.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sir-log"/>
          <w:p>
            <w:pPr>
              <w:pStyle w:val="Compact"/>
              <w:jc w:val="center"/>
            </w:pPr>
            <w:r>
              <w:drawing>
                <wp:inline>
                  <wp:extent cx="4533900" cy="277585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sir_agents/sir_log_scal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775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Число инфицированных в логарифмическом масштабе</w:t>
            </w:r>
          </w:p>
          <w:bookmarkEnd w:id="67"/>
        </w:tc>
      </w:tr>
    </w:tbl>
    <w:p>
      <w:pPr>
        <w:pStyle w:val="BodyText"/>
      </w:pPr>
      <w:r>
        <w:t xml:space="preserve">Фазовый портрет модели представлен на</w:t>
      </w:r>
      <w:r>
        <w:t xml:space="preserve"> </w:t>
      </w:r>
      <w:hyperlink w:anchor="fig-sir-phase">
        <w:r>
          <w:rPr>
            <w:rStyle w:val="Hyperlink"/>
          </w:rPr>
          <w:t xml:space="preserve">рис.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sir-phase"/>
          <w:p>
            <w:pPr>
              <w:pStyle w:val="Compact"/>
              <w:jc w:val="center"/>
            </w:pPr>
            <w:r>
              <w:drawing>
                <wp:inline>
                  <wp:extent cx="4267200" cy="261257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sir_agents/sir_phase_portrai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12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Фазовый портрет агентной модели SIR</w:t>
            </w:r>
          </w:p>
          <w:bookmarkEnd w:id="71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sir-panel">
        <w:r>
          <w:rPr>
            <w:rStyle w:val="Hyperlink"/>
          </w:rPr>
          <w:t xml:space="preserve">рис. 13</w:t>
        </w:r>
      </w:hyperlink>
      <w:r>
        <w:t xml:space="preserve"> </w:t>
      </w:r>
      <w:r>
        <w:t xml:space="preserve">собрана компактная панель основных диагностик модели:</w:t>
      </w:r>
      <w:r>
        <w:t xml:space="preserve"> </w:t>
      </w:r>
      <w:r>
        <w:t xml:space="preserve">динамика</w:t>
      </w:r>
      <w:r>
        <w:t xml:space="preserve"> </w:t>
      </w:r>
      <w:r>
        <w:rPr>
          <w:rStyle w:val="VerbatimChar"/>
        </w:rPr>
        <w:t xml:space="preserve">S(t)</w:t>
      </w:r>
      <w:r>
        <w:t xml:space="preserve">,</w:t>
      </w:r>
      <w:r>
        <w:t xml:space="preserve"> </w:t>
      </w:r>
      <w:r>
        <w:rPr>
          <w:rStyle w:val="VerbatimChar"/>
        </w:rPr>
        <w:t xml:space="preserve">I(t)</w:t>
      </w:r>
      <w:r>
        <w:t xml:space="preserve">,</w:t>
      </w:r>
      <w:r>
        <w:t xml:space="preserve"> </w:t>
      </w:r>
      <w:r>
        <w:rPr>
          <w:rStyle w:val="VerbatimChar"/>
        </w:rPr>
        <w:t xml:space="preserve">R(t)</w:t>
      </w:r>
      <w:r>
        <w:t xml:space="preserve">, логарифмическая кривая заражений, фазовый</w:t>
      </w:r>
      <w:r>
        <w:t xml:space="preserve"> </w:t>
      </w:r>
      <w:r>
        <w:t xml:space="preserve">портрет и эффективное репродуктивное число.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sir-panel"/>
          <w:p>
            <w:pPr>
              <w:pStyle w:val="Compact"/>
              <w:jc w:val="center"/>
            </w:pPr>
            <w:r>
              <w:drawing>
                <wp:inline>
                  <wp:extent cx="5067300" cy="3293745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sir_agents/sir_panel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9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Компактная панель диагностик агентной модели SIR</w:t>
            </w:r>
          </w:p>
          <w:bookmarkEnd w:id="75"/>
        </w:tc>
      </w:tr>
    </w:tbl>
    <w:bookmarkEnd w:id="76"/>
    <w:bookmarkStart w:id="82" w:name="дополнительное-задание-набор-параметров"/>
    <w:p>
      <w:pPr>
        <w:pStyle w:val="Heading2"/>
      </w:pPr>
      <w:r>
        <w:t xml:space="preserve">4.3 Дополнительное задание: набор параметров</w:t>
      </w:r>
    </w:p>
    <w:p>
      <w:pPr>
        <w:pStyle w:val="FirstParagraph"/>
      </w:pPr>
      <w:r>
        <w:t xml:space="preserve">Для дополнительного исследования были рассмотрены четыре сценария:</w:t>
      </w:r>
    </w:p>
    <w:p>
      <w:pPr>
        <w:pStyle w:val="Compact"/>
        <w:numPr>
          <w:ilvl w:val="0"/>
          <w:numId w:val="1006"/>
        </w:numPr>
      </w:pPr>
      <w:r>
        <w:t xml:space="preserve">базовый;</w:t>
      </w:r>
    </w:p>
    <w:p>
      <w:pPr>
        <w:pStyle w:val="Compact"/>
        <w:numPr>
          <w:ilvl w:val="0"/>
          <w:numId w:val="1006"/>
        </w:numPr>
      </w:pPr>
      <w:r>
        <w:t xml:space="preserve">уменьшение числа контактов;</w:t>
      </w:r>
    </w:p>
    <w:p>
      <w:pPr>
        <w:pStyle w:val="Compact"/>
        <w:numPr>
          <w:ilvl w:val="0"/>
          <w:numId w:val="1006"/>
        </w:numPr>
      </w:pPr>
      <w:r>
        <w:t xml:space="preserve">увеличение числа контактов;</w:t>
      </w:r>
    </w:p>
    <w:p>
      <w:pPr>
        <w:pStyle w:val="Compact"/>
        <w:numPr>
          <w:ilvl w:val="0"/>
          <w:numId w:val="1006"/>
        </w:numPr>
      </w:pPr>
      <w:r>
        <w:t xml:space="preserve">ускоренное выздоровление.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tbl-sir-param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Сводка параметрического исследования SIR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66"/>
              <w:gridCol w:w="1021"/>
              <w:gridCol w:w="1021"/>
              <w:gridCol w:w="1021"/>
              <w:gridCol w:w="1021"/>
              <w:gridCol w:w="1021"/>
              <w:gridCol w:w="1021"/>
              <w:gridCol w:w="10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Контакты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Шаг пика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Пик инфицированных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Переболело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base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low_contacts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high_contacts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fast_recovery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493</w:t>
                  </w:r>
                </w:p>
              </w:tc>
            </w:tr>
          </w:tbl>
          <w:bookmarkEnd w:id="7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sir-param"/>
          <w:p>
            <w:pPr>
              <w:pStyle w:val="Compact"/>
              <w:jc w:val="center"/>
            </w:pPr>
            <w:r>
              <w:drawing>
                <wp:inline>
                  <wp:extent cx="4800600" cy="277368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2_sir_agents_param/sir_agents_param_compar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7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Сравнение сценариев SIR при разных параметрах</w:t>
            </w:r>
          </w:p>
          <w:bookmarkEnd w:id="81"/>
        </w:tc>
      </w:tr>
    </w:tbl>
    <w:p>
      <w:pPr>
        <w:pStyle w:val="BodyText"/>
      </w:pPr>
      <w:r>
        <w:t xml:space="preserve">Параметрическое исследование показывает, что уменьшение числа контактов</w:t>
      </w:r>
      <w:r>
        <w:t xml:space="preserve"> </w:t>
      </w:r>
      <w:r>
        <w:t xml:space="preserve">снижает пик эпидемии и итоговое число заболевших, а рост числа контактов</w:t>
      </w:r>
      <w:r>
        <w:t xml:space="preserve"> </w:t>
      </w:r>
      <w:r>
        <w:t xml:space="preserve">существенно увеличивает пик и ускоряет его наступление.</w:t>
      </w:r>
    </w:p>
    <w:bookmarkEnd w:id="82"/>
    <w:bookmarkStart w:id="150" w:name="выполнение-дополнительного-задания"/>
    <w:p>
      <w:pPr>
        <w:pStyle w:val="Heading2"/>
      </w:pPr>
      <w:r>
        <w:t xml:space="preserve">4.4 Выполнение дополнительного задания</w:t>
      </w:r>
    </w:p>
    <w:p>
      <w:pPr>
        <w:pStyle w:val="FirstParagraph"/>
      </w:pPr>
      <w:r>
        <w:t xml:space="preserve">Для дополнительного исследования использована расширенная многогородная</w:t>
      </w:r>
      <w:r>
        <w:t xml:space="preserve"> </w:t>
      </w:r>
      <w:r>
        <w:t xml:space="preserve">SIR-модель из</w:t>
      </w:r>
      <w:r>
        <w:t xml:space="preserve"> </w:t>
      </w:r>
      <w:r>
        <w:rPr>
          <w:rStyle w:val="VerbatimChar"/>
        </w:rPr>
        <w:t xml:space="preserve">sir_extra_model.jl</w:t>
      </w:r>
      <w:r>
        <w:t xml:space="preserve">. В ней эпидемия развивается сразу в</w:t>
      </w:r>
      <w:r>
        <w:t xml:space="preserve"> </w:t>
      </w:r>
      <w:r>
        <w:t xml:space="preserve">нескольких городах, а интенсивность передачи инфекции, миграция, смертность и</w:t>
      </w:r>
      <w:r>
        <w:t xml:space="preserve"> </w:t>
      </w:r>
      <w:r>
        <w:t xml:space="preserve">вероятность повторного заражения задаются явно. Это позволяет рассматривать</w:t>
      </w:r>
      <w:r>
        <w:t xml:space="preserve"> </w:t>
      </w:r>
      <w:r>
        <w:t xml:space="preserve">не только одну эпидемическую волну, но и влияние мобильности и управляющих</w:t>
      </w:r>
      <w:r>
        <w:t xml:space="preserve"> </w:t>
      </w:r>
      <w:r>
        <w:t xml:space="preserve">мер на итоговую динамику.</w:t>
      </w:r>
    </w:p>
    <w:bookmarkStart w:id="91" w:name="базовый-запуск-расширенной-модели"/>
    <w:p>
      <w:pPr>
        <w:pStyle w:val="Heading3"/>
      </w:pPr>
      <w:r>
        <w:t xml:space="preserve">4.4.1 Базовый запуск расширенной модели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lab04-extra-basic">
        <w:r>
          <w:rPr>
            <w:rStyle w:val="Hyperlink"/>
          </w:rPr>
          <w:t xml:space="preserve">рис. 15</w:t>
        </w:r>
      </w:hyperlink>
      <w:r>
        <w:t xml:space="preserve"> </w:t>
      </w:r>
      <w:r>
        <w:t xml:space="preserve">показано завершение параметрического запуска и</w:t>
      </w:r>
      <w:r>
        <w:t xml:space="preserve"> </w:t>
      </w:r>
      <w:r>
        <w:t xml:space="preserve">переход к скрипту</w:t>
      </w:r>
      <w:r>
        <w:t xml:space="preserve"> </w:t>
      </w:r>
      <w:r>
        <w:rPr>
          <w:rStyle w:val="VerbatimChar"/>
        </w:rPr>
        <w:t xml:space="preserve">extra_sir_run_basic.jl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lab04-extra-basic"/>
          <w:p>
            <w:pPr>
              <w:pStyle w:val="Compact"/>
              <w:jc w:val="center"/>
            </w:pPr>
            <w:r>
              <w:drawing>
                <wp:inline>
                  <wp:extent cx="5334000" cy="25135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дополнительного сценария extra_sir_run_basic.jl</w:t>
            </w:r>
          </w:p>
          <w:bookmarkEnd w:id="86"/>
        </w:tc>
      </w:tr>
    </w:tbl>
    <w:p>
      <w:pPr>
        <w:pStyle w:val="BodyText"/>
      </w:pPr>
      <w:r>
        <w:t xml:space="preserve">В базовом дополнительном сценарии рассматривались три города по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агентов</w:t>
      </w:r>
      <w:r>
        <w:t xml:space="preserve"> </w:t>
      </w:r>
      <w:r>
        <w:t xml:space="preserve">в каждом, интенсивность скрытой передачи</w:t>
      </w:r>
      <w:r>
        <w:t xml:space="preserve"> </w:t>
      </w:r>
      <w:r>
        <w:rPr>
          <w:rStyle w:val="VerbatimChar"/>
        </w:rPr>
        <w:t xml:space="preserve">β_und = 0.5</w:t>
      </w:r>
      <w:r>
        <w:t xml:space="preserve">, интенсивность после</w:t>
      </w:r>
      <w:r>
        <w:t xml:space="preserve"> </w:t>
      </w:r>
      <w:r>
        <w:t xml:space="preserve">обнаружения</w:t>
      </w:r>
      <w:r>
        <w:t xml:space="preserve"> </w:t>
      </w:r>
      <w:r>
        <w:rPr>
          <w:rStyle w:val="VerbatimChar"/>
        </w:rPr>
        <w:t xml:space="preserve">β_det = 0.05</w:t>
      </w:r>
      <w:r>
        <w:t xml:space="preserve">, длительность болезни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шагов и смертность</w:t>
      </w:r>
      <w:r>
        <w:t xml:space="preserve"> </w:t>
      </w:r>
      <w:r>
        <w:rPr>
          <w:rStyle w:val="VerbatimChar"/>
        </w:rPr>
        <w:t xml:space="preserve">0.02</w:t>
      </w:r>
      <w:r>
        <w:t xml:space="preserve">. Начальное заражение помещалось в третий город.</w:t>
      </w:r>
    </w:p>
    <w:p>
      <w:pPr>
        <w:pStyle w:val="BodyText"/>
      </w:pPr>
      <w:r>
        <w:t xml:space="preserve">На</w:t>
      </w:r>
      <w:r>
        <w:t xml:space="preserve"> </w:t>
      </w:r>
      <w:hyperlink w:anchor="fig-extra-basic-plot">
        <w:r>
          <w:rPr>
            <w:rStyle w:val="Hyperlink"/>
          </w:rPr>
          <w:t xml:space="preserve">рис. 16</w:t>
        </w:r>
      </w:hyperlink>
      <w:r>
        <w:t xml:space="preserve"> </w:t>
      </w:r>
      <w:r>
        <w:t xml:space="preserve">показана суммарная динамика расширенной</w:t>
      </w:r>
      <w:r>
        <w:t xml:space="preserve"> </w:t>
      </w:r>
      <w:r>
        <w:t xml:space="preserve">модели. Пик инфекции достигается уже на</w:t>
      </w:r>
      <w:r>
        <w:t xml:space="preserve"> </w:t>
      </w:r>
      <w:r>
        <w:rPr>
          <w:rStyle w:val="VerbatimChar"/>
        </w:rPr>
        <w:t xml:space="preserve">11</w:t>
      </w:r>
      <w:r>
        <w:t xml:space="preserve">-м шаге, при этом в пике заражение</w:t>
      </w:r>
      <w:r>
        <w:t xml:space="preserve"> </w:t>
      </w:r>
      <w:r>
        <w:t xml:space="preserve">охватывает практически всю популяцию (</w:t>
      </w:r>
      <w:r>
        <w:rPr>
          <w:rStyle w:val="VerbatimChar"/>
        </w:rPr>
        <w:t xml:space="preserve">peak_share = 1.0</w:t>
      </w:r>
      <w:r>
        <w:t xml:space="preserve">). К концу прогона</w:t>
      </w:r>
      <w:r>
        <w:t xml:space="preserve"> </w:t>
      </w:r>
      <w:r>
        <w:t xml:space="preserve">доля переболевших достигает</w:t>
      </w:r>
      <w:r>
        <w:t xml:space="preserve"> </w:t>
      </w:r>
      <w:r>
        <w:rPr>
          <w:rStyle w:val="VerbatimChar"/>
        </w:rPr>
        <w:t xml:space="preserve">0.9083</w:t>
      </w:r>
      <w:r>
        <w:t xml:space="preserve">, а доля умерших —</w:t>
      </w:r>
      <w:r>
        <w:t xml:space="preserve"> </w:t>
      </w:r>
      <w:r>
        <w:rPr>
          <w:rStyle w:val="VerbatimChar"/>
        </w:rPr>
        <w:t xml:space="preserve">0.0244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extra-basic-plot"/>
          <w:p>
            <w:pPr>
              <w:pStyle w:val="Compact"/>
              <w:jc w:val="center"/>
            </w:pPr>
            <w:r>
              <w:drawing>
                <wp:inline>
                  <wp:extent cx="4800600" cy="277368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project/plots/extra_sir_run_basic/sir_basic_dynamics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7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Базовая динамика расширенной многогородной SIR-модели</w:t>
            </w:r>
          </w:p>
          <w:bookmarkEnd w:id="90"/>
        </w:tc>
      </w:tr>
    </w:tbl>
    <w:bookmarkEnd w:id="91"/>
    <w:bookmarkStart w:id="104" w:name="сканирование-параметра-beta"/>
    <w:p>
      <w:pPr>
        <w:pStyle w:val="Heading3"/>
      </w:pPr>
      <w:r>
        <w:t xml:space="preserve">4.4.2 Сканирование параметра beta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lab04-extra-beta">
        <w:r>
          <w:rPr>
            <w:rStyle w:val="Hyperlink"/>
          </w:rPr>
          <w:t xml:space="preserve">рис. 17</w:t>
        </w:r>
      </w:hyperlink>
      <w:r>
        <w:t xml:space="preserve"> </w:t>
      </w:r>
      <w:r>
        <w:t xml:space="preserve">показан переход к исследованию влияния</w:t>
      </w:r>
      <w:r>
        <w:t xml:space="preserve"> </w:t>
      </w:r>
      <w:r>
        <w:t xml:space="preserve">параметра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extra_sir_scan_beta.jl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b04-extra-beta"/>
          <w:p>
            <w:pPr>
              <w:pStyle w:val="Compact"/>
              <w:jc w:val="center"/>
            </w:pPr>
            <w:r>
              <w:drawing>
                <wp:inline>
                  <wp:extent cx="5334000" cy="251357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скрипта extra_sir_scan_beta.jl</w:t>
            </w:r>
          </w:p>
          <w:bookmarkEnd w:id="95"/>
        </w:tc>
      </w:tr>
    </w:tbl>
    <w:p>
      <w:pPr>
        <w:pStyle w:val="BodyText"/>
      </w:pPr>
      <w:r>
        <w:t xml:space="preserve">В этом эксперименте параметр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изменялся от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0.8</w:t>
      </w:r>
      <w:r>
        <w:t xml:space="preserve">, а итоговые</w:t>
      </w:r>
      <w:r>
        <w:t xml:space="preserve"> </w:t>
      </w:r>
      <w:r>
        <w:t xml:space="preserve">характеристики усреднялись по нескольким значениям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 На</w:t>
      </w:r>
      <w:r>
        <w:t xml:space="preserve"> </w:t>
      </w:r>
      <w:hyperlink w:anchor="fig-extra-beta-scan">
        <w:r>
          <w:rPr>
            <w:rStyle w:val="Hyperlink"/>
          </w:rPr>
          <w:t xml:space="preserve">рис. 18</w:t>
        </w:r>
      </w:hyperlink>
      <w:r>
        <w:t xml:space="preserve"> </w:t>
      </w:r>
      <w:r>
        <w:t xml:space="preserve">видно, что уже при</w:t>
      </w:r>
      <w:r>
        <w:t xml:space="preserve"> </w:t>
      </w:r>
      <w:r>
        <w:rPr>
          <w:rStyle w:val="VerbatimChar"/>
        </w:rPr>
        <w:t xml:space="preserve">beta = 0.2</w:t>
      </w:r>
      <w:r>
        <w:t xml:space="preserve"> </w:t>
      </w:r>
      <w:r>
        <w:t xml:space="preserve">средняя доля</w:t>
      </w:r>
      <w:r>
        <w:t xml:space="preserve"> </w:t>
      </w:r>
      <w:r>
        <w:t xml:space="preserve">заражённых в пике превышает</w:t>
      </w:r>
      <w:r>
        <w:t xml:space="preserve"> </w:t>
      </w:r>
      <w:r>
        <w:rPr>
          <w:rStyle w:val="VerbatimChar"/>
        </w:rPr>
        <w:t xml:space="preserve">0.91</w:t>
      </w:r>
      <w:r>
        <w:t xml:space="preserve">, а при</w:t>
      </w:r>
      <w:r>
        <w:t xml:space="preserve"> </w:t>
      </w:r>
      <w:r>
        <w:rPr>
          <w:rStyle w:val="VerbatimChar"/>
        </w:rPr>
        <w:t xml:space="preserve">beta &gt;= 0.6</w:t>
      </w:r>
      <w:r>
        <w:t xml:space="preserve"> </w:t>
      </w:r>
      <w:r>
        <w:t xml:space="preserve">эпидемия не только</w:t>
      </w:r>
      <w:r>
        <w:t xml:space="preserve"> </w:t>
      </w:r>
      <w:r>
        <w:t xml:space="preserve">почти полностью охватывает популяцию в максимуме, но и оставляет заметную</w:t>
      </w:r>
      <w:r>
        <w:t xml:space="preserve"> </w:t>
      </w:r>
      <w:r>
        <w:t xml:space="preserve">конечную долю инфицированных и более высокую смертность.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extra-beta-scan"/>
          <w:p>
            <w:pPr>
              <w:pStyle w:val="Compact"/>
              <w:jc w:val="center"/>
            </w:pPr>
            <w:r>
              <w:drawing>
                <wp:inline>
                  <wp:extent cx="4800600" cy="277368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project/plots/extra_sir_scan_beta/beta_scan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7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Сканирование параметра beta в расширенной SIR-модели</w:t>
            </w:r>
          </w:p>
          <w:bookmarkEnd w:id="99"/>
        </w:tc>
      </w:tr>
    </w:tbl>
    <w:p>
      <w:pPr>
        <w:pStyle w:val="BodyText"/>
      </w:pPr>
      <w:r>
        <w:t xml:space="preserve">Для оценки границы между затухающим и развивающимся сценарием был дополнительно</w:t>
      </w:r>
      <w:r>
        <w:t xml:space="preserve"> </w:t>
      </w:r>
      <w:r>
        <w:t xml:space="preserve">выполнен поиск эпидемического порога. На</w:t>
      </w:r>
      <w:r>
        <w:t xml:space="preserve"> </w:t>
      </w:r>
      <w:hyperlink w:anchor="fig-extra-threshold">
        <w:r>
          <w:rPr>
            <w:rStyle w:val="Hyperlink"/>
          </w:rPr>
          <w:t xml:space="preserve">рис. 19</w:t>
        </w:r>
      </w:hyperlink>
      <w:r>
        <w:t xml:space="preserve"> </w:t>
      </w:r>
      <w:r>
        <w:t xml:space="preserve">видно,</w:t>
      </w:r>
      <w:r>
        <w:t xml:space="preserve"> </w:t>
      </w:r>
      <w:r>
        <w:t xml:space="preserve">что наблюдаемый порог наступает при</w:t>
      </w:r>
      <w:r>
        <w:t xml:space="preserve"> </w:t>
      </w:r>
      <w:r>
        <w:rPr>
          <w:rStyle w:val="VerbatimChar"/>
        </w:rPr>
        <w:t xml:space="preserve">beta ≈ 0.07</w:t>
      </w:r>
      <w:r>
        <w:t xml:space="preserve">, что хорошо согласуется с</w:t>
      </w:r>
      <w:r>
        <w:t xml:space="preserve"> </w:t>
      </w:r>
      <w:r>
        <w:t xml:space="preserve">теоретической оценкой</w:t>
      </w:r>
      <w:r>
        <w:t xml:space="preserve"> </w:t>
      </w:r>
      <w:r>
        <w:rPr>
          <w:rStyle w:val="VerbatimChar"/>
        </w:rPr>
        <w:t xml:space="preserve">beta = gamma = 1/14 ≈ 0.0714</w:t>
      </w:r>
      <w:r>
        <w:t xml:space="preserve"> </w:t>
      </w:r>
      <w:r>
        <w:t xml:space="preserve">для условия</w:t>
      </w:r>
      <w:r>
        <w:t xml:space="preserve"> </w:t>
      </w:r>
      <w:r>
        <w:rPr>
          <w:rStyle w:val="VerbatimChar"/>
        </w:rPr>
        <w:t xml:space="preserve">R0 = 1</w:t>
      </w:r>
      <w:r>
        <w:t xml:space="preserve">.</w:t>
      </w:r>
      <w:r>
        <w:t xml:space="preserve"> </w:t>
      </w:r>
      <w:r>
        <w:t xml:space="preserve">Соответствующее наблюдаемое значение</w:t>
      </w:r>
      <w:r>
        <w:t xml:space="preserve"> </w:t>
      </w:r>
      <w:r>
        <w:rPr>
          <w:rStyle w:val="VerbatimChar"/>
        </w:rPr>
        <w:t xml:space="preserve">R0</w:t>
      </w:r>
      <w:r>
        <w:t xml:space="preserve"> </w:t>
      </w:r>
      <w:r>
        <w:t xml:space="preserve">составило примерно</w:t>
      </w:r>
      <w:r>
        <w:t xml:space="preserve"> </w:t>
      </w:r>
      <w:r>
        <w:rPr>
          <w:rStyle w:val="VerbatimChar"/>
        </w:rPr>
        <w:t xml:space="preserve">0.98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extra-threshold"/>
          <w:p>
            <w:pPr>
              <w:pStyle w:val="Compact"/>
              <w:jc w:val="center"/>
            </w:pPr>
            <w:r>
              <w:drawing>
                <wp:inline>
                  <wp:extent cx="4800600" cy="2817743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../project/plots/extra_sir_threshold_beta/threshold_beta_scan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17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Поиск эпидемического порога по параметру beta</w:t>
            </w:r>
          </w:p>
          <w:bookmarkEnd w:id="103"/>
        </w:tc>
      </w:tr>
    </w:tbl>
    <w:bookmarkEnd w:id="104"/>
    <w:bookmarkStart w:id="113" w:name="влияние-миграции-между-городами"/>
    <w:p>
      <w:pPr>
        <w:pStyle w:val="Heading3"/>
      </w:pPr>
      <w:r>
        <w:t xml:space="preserve">4.4.3 Влияние миграции между городами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lab04-extra-migration">
        <w:r>
          <w:rPr>
            <w:rStyle w:val="Hyperlink"/>
          </w:rPr>
          <w:t xml:space="preserve">рис. 20</w:t>
        </w:r>
      </w:hyperlink>
      <w:r>
        <w:t xml:space="preserve"> </w:t>
      </w:r>
      <w:r>
        <w:t xml:space="preserve">показан запуск сценария с миграцией</w:t>
      </w:r>
      <w:r>
        <w:t xml:space="preserve"> </w:t>
      </w:r>
      <w:r>
        <w:rPr>
          <w:rStyle w:val="VerbatimChar"/>
        </w:rPr>
        <w:t xml:space="preserve">extra_sir_migration_effect.jl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lab04-extra-migration"/>
          <w:p>
            <w:pPr>
              <w:pStyle w:val="Compact"/>
              <w:jc w:val="center"/>
            </w:pPr>
            <w:r>
              <w:drawing>
                <wp:inline>
                  <wp:extent cx="5334000" cy="251357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Запуск скрипта extra_sir_migration_effect.jl</w:t>
            </w:r>
          </w:p>
          <w:bookmarkEnd w:id="108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extra-migration-plot">
        <w:r>
          <w:rPr>
            <w:rStyle w:val="Hyperlink"/>
          </w:rPr>
          <w:t xml:space="preserve">рис. 21</w:t>
        </w:r>
      </w:hyperlink>
      <w:r>
        <w:t xml:space="preserve"> </w:t>
      </w:r>
      <w:r>
        <w:t xml:space="preserve">приведены зависимости времени до пика и</w:t>
      </w:r>
      <w:r>
        <w:t xml:space="preserve"> </w:t>
      </w:r>
      <w:r>
        <w:t xml:space="preserve">доли заражённых в пике от интенсивности миграции. При нулевой миграции средняя</w:t>
      </w:r>
      <w:r>
        <w:t xml:space="preserve"> </w:t>
      </w:r>
      <w:r>
        <w:t xml:space="preserve">доля инфицированных в пике составляет около</w:t>
      </w:r>
      <w:r>
        <w:t xml:space="preserve"> </w:t>
      </w:r>
      <w:r>
        <w:rPr>
          <w:rStyle w:val="VerbatimChar"/>
        </w:rPr>
        <w:t xml:space="preserve">0.3331</w:t>
      </w:r>
      <w:r>
        <w:t xml:space="preserve">, тогда как при ненулевых</w:t>
      </w:r>
      <w:r>
        <w:t xml:space="preserve"> </w:t>
      </w:r>
      <w:r>
        <w:t xml:space="preserve">интенсивностях она практически достигает</w:t>
      </w:r>
      <w:r>
        <w:t xml:space="preserve"> </w:t>
      </w:r>
      <w:r>
        <w:rPr>
          <w:rStyle w:val="VerbatimChar"/>
        </w:rPr>
        <w:t xml:space="preserve">1.0</w:t>
      </w:r>
      <w:r>
        <w:t xml:space="preserve">. Это показывает, что перенос</w:t>
      </w:r>
      <w:r>
        <w:t xml:space="preserve"> </w:t>
      </w:r>
      <w:r>
        <w:t xml:space="preserve">инфекции между городами резко усиливает синхронизацию вспышек и делает общую</w:t>
      </w:r>
      <w:r>
        <w:t xml:space="preserve"> </w:t>
      </w:r>
      <w:r>
        <w:t xml:space="preserve">эпидемическую волну намного более тяжёлой.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extra-migration-plot"/>
          <w:p>
            <w:pPr>
              <w:pStyle w:val="Compact"/>
              <w:jc w:val="center"/>
            </w:pPr>
            <w:r>
              <w:drawing>
                <wp:inline>
                  <wp:extent cx="4800600" cy="405384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../project/plots/extra_sir_migration_effect/migration_effect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053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Влияние интенсивности миграции на форму эпидемической волны</w:t>
            </w:r>
          </w:p>
          <w:bookmarkEnd w:id="112"/>
        </w:tc>
      </w:tr>
    </w:tbl>
    <w:bookmarkEnd w:id="113"/>
    <w:bookmarkStart w:id="126" w:name="подбор-параметров-и-пространство-решений"/>
    <w:p>
      <w:pPr>
        <w:pStyle w:val="Heading3"/>
      </w:pPr>
      <w:r>
        <w:t xml:space="preserve">4.4.4 Подбор параметров и пространство решений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lab04-extra-opt-start">
        <w:r>
          <w:rPr>
            <w:rStyle w:val="Hyperlink"/>
          </w:rPr>
          <w:t xml:space="preserve">рис. 22</w:t>
        </w:r>
      </w:hyperlink>
      <w:r>
        <w:t xml:space="preserve"> </w:t>
      </w:r>
      <w:r>
        <w:t xml:space="preserve">показан переход к оптимизации параметров</w:t>
      </w:r>
      <w:r>
        <w:t xml:space="preserve"> </w:t>
      </w:r>
      <w:r>
        <w:t xml:space="preserve">в скрипте</w:t>
      </w:r>
      <w:r>
        <w:t xml:space="preserve"> </w:t>
      </w:r>
      <w:r>
        <w:rPr>
          <w:rStyle w:val="VerbatimChar"/>
        </w:rPr>
        <w:t xml:space="preserve">extra_sir_optimize_parameters.jl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lab04-extra-opt-start"/>
          <w:p>
            <w:pPr>
              <w:pStyle w:val="Compact"/>
              <w:jc w:val="center"/>
            </w:pPr>
            <w:r>
              <w:drawing>
                <wp:inline>
                  <wp:extent cx="5334000" cy="251357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Запуск скрипта extra_sir_optimize_parameters.jl</w:t>
            </w:r>
          </w:p>
          <w:bookmarkEnd w:id="117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4-extra-opt-result">
        <w:r>
          <w:rPr>
            <w:rStyle w:val="Hyperlink"/>
          </w:rPr>
          <w:t xml:space="preserve">рис. 23</w:t>
        </w:r>
      </w:hyperlink>
      <w:r>
        <w:t xml:space="preserve"> </w:t>
      </w:r>
      <w:r>
        <w:t xml:space="preserve">приведён фрагмент итоговых параметров,</w:t>
      </w:r>
      <w:r>
        <w:t xml:space="preserve"> </w:t>
      </w:r>
      <w:r>
        <w:t xml:space="preserve">полученных в ходе оптимизационного запуска.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ab04-extra-opt-result"/>
          <w:p>
            <w:pPr>
              <w:pStyle w:val="Compact"/>
              <w:jc w:val="center"/>
            </w:pPr>
            <w:r>
              <w:drawing>
                <wp:inline>
                  <wp:extent cx="4800600" cy="543519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3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Результат подбора параметров для дополнительного сценария</w:t>
            </w:r>
          </w:p>
          <w:bookmarkEnd w:id="121"/>
        </w:tc>
      </w:tr>
    </w:tbl>
    <w:p>
      <w:pPr>
        <w:pStyle w:val="BodyText"/>
      </w:pPr>
      <w:r>
        <w:t xml:space="preserve">В оптимизационном эксперименте перебирались значения</w:t>
      </w:r>
      <w:r>
        <w:t xml:space="preserve"> </w:t>
      </w:r>
      <w:r>
        <w:rPr>
          <w:rStyle w:val="VerbatimChar"/>
        </w:rPr>
        <w:t xml:space="preserve">beta</w:t>
      </w:r>
      <w:r>
        <w:t xml:space="preserve">, времени</w:t>
      </w:r>
      <w:r>
        <w:t xml:space="preserve"> </w:t>
      </w:r>
      <w:r>
        <w:t xml:space="preserve">обнаружения и смертности при ограничении</w:t>
      </w:r>
      <w:r>
        <w:t xml:space="preserve"> </w:t>
      </w:r>
      <w:r>
        <w:rPr>
          <w:rStyle w:val="VerbatimChar"/>
        </w:rPr>
        <w:t xml:space="preserve">mean_peak_share &lt; 0.30</w:t>
      </w:r>
      <w:r>
        <w:t xml:space="preserve">. Лучшим</w:t>
      </w:r>
      <w:r>
        <w:t xml:space="preserve"> </w:t>
      </w:r>
      <w:r>
        <w:t xml:space="preserve">допустимым набором оказался</w:t>
      </w:r>
      <w:r>
        <w:t xml:space="preserve"> </w:t>
      </w:r>
      <w:r>
        <w:rPr>
          <w:rStyle w:val="VerbatimChar"/>
        </w:rPr>
        <w:t xml:space="preserve">beta = 0.03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detection_time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death_rate = 0.005</w:t>
      </w:r>
      <w:r>
        <w:t xml:space="preserve">: при этих параметрах средняя доля заражённых в пике</w:t>
      </w:r>
      <w:r>
        <w:t xml:space="preserve"> </w:t>
      </w:r>
      <w:r>
        <w:t xml:space="preserve">составила</w:t>
      </w:r>
      <w:r>
        <w:t xml:space="preserve"> </w:t>
      </w:r>
      <w:r>
        <w:rPr>
          <w:rStyle w:val="VerbatimChar"/>
        </w:rPr>
        <w:t xml:space="preserve">0.0011</w:t>
      </w:r>
      <w:r>
        <w:t xml:space="preserve">, а средняя доля умерших оказалась равной нулю.</w:t>
      </w:r>
    </w:p>
    <w:p>
      <w:pPr>
        <w:pStyle w:val="BodyText"/>
      </w:pPr>
      <w:r>
        <w:t xml:space="preserve">На</w:t>
      </w:r>
      <w:r>
        <w:t xml:space="preserve"> </w:t>
      </w:r>
      <w:hyperlink w:anchor="fig-extra-opt-plot">
        <w:r>
          <w:rPr>
            <w:rStyle w:val="Hyperlink"/>
          </w:rPr>
          <w:t xml:space="preserve">рис. 24</w:t>
        </w:r>
      </w:hyperlink>
      <w:r>
        <w:t xml:space="preserve"> </w:t>
      </w:r>
      <w:r>
        <w:t xml:space="preserve">показано пространство решений. Видно, что</w:t>
      </w:r>
      <w:r>
        <w:t xml:space="preserve"> </w:t>
      </w:r>
      <w:r>
        <w:t xml:space="preserve">уменьшение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и ускорение выявления инфекции сдвигают решения в область</w:t>
      </w:r>
      <w:r>
        <w:t xml:space="preserve"> </w:t>
      </w:r>
      <w:r>
        <w:t xml:space="preserve">одновременно малого пика и низкой смертности.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extra-opt-plot"/>
          <w:p>
            <w:pPr>
              <w:pStyle w:val="Compact"/>
              <w:jc w:val="center"/>
            </w:pPr>
            <w:r>
              <w:drawing>
                <wp:inline>
                  <wp:extent cx="4800600" cy="298704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extra_sir_optimize_parameters/optimization_tradeoff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Пространство решений при подборе параметров расширенной SIR-модели</w:t>
            </w:r>
          </w:p>
          <w:bookmarkEnd w:id="125"/>
        </w:tc>
      </w:tr>
    </w:tbl>
    <w:bookmarkEnd w:id="126"/>
    <w:bookmarkStart w:id="131" w:name="карантинный-сценарий"/>
    <w:p>
      <w:pPr>
        <w:pStyle w:val="Heading3"/>
      </w:pPr>
      <w:r>
        <w:t xml:space="preserve">4.4.5 Карантинный сценарий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extra-quarantine">
        <w:r>
          <w:rPr>
            <w:rStyle w:val="Hyperlink"/>
          </w:rPr>
          <w:t xml:space="preserve">рис. 25</w:t>
        </w:r>
      </w:hyperlink>
      <w:r>
        <w:t xml:space="preserve"> </w:t>
      </w:r>
      <w:r>
        <w:t xml:space="preserve">показано сравнение базового сценария и</w:t>
      </w:r>
      <w:r>
        <w:t xml:space="preserve"> </w:t>
      </w:r>
      <w:r>
        <w:t xml:space="preserve">сценария с карантином, который включался при превышении доли инфицированных в</w:t>
      </w:r>
      <w:r>
        <w:t xml:space="preserve"> </w:t>
      </w:r>
      <w:r>
        <w:t xml:space="preserve">городе порога</w:t>
      </w:r>
      <w:r>
        <w:t xml:space="preserve"> </w:t>
      </w:r>
      <w:r>
        <w:rPr>
          <w:rStyle w:val="VerbatimChar"/>
        </w:rPr>
        <w:t xml:space="preserve">0.08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extra-quarantine"/>
          <w:p>
            <w:pPr>
              <w:pStyle w:val="Compact"/>
              <w:jc w:val="center"/>
            </w:pPr>
            <w:r>
              <w:drawing>
                <wp:inline>
                  <wp:extent cx="4800600" cy="4383156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../project/plots/extra_sir_quarantine/quarantine_comparison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83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Сравнение сценариев с карантином и без карантина</w:t>
            </w:r>
          </w:p>
          <w:bookmarkEnd w:id="130"/>
        </w:tc>
      </w:tr>
    </w:tbl>
    <w:p>
      <w:pPr>
        <w:pStyle w:val="BodyText"/>
      </w:pPr>
      <w:r>
        <w:t xml:space="preserve">В рассматриваемой конфигурации карантин немного уменьшил итоговую долю умерших</w:t>
      </w:r>
      <w:r>
        <w:t xml:space="preserve"> </w:t>
      </w:r>
      <w:r>
        <w:t xml:space="preserve">(</w:t>
      </w:r>
      <w:r>
        <w:rPr>
          <w:rStyle w:val="VerbatimChar"/>
        </w:rPr>
        <w:t xml:space="preserve">0.0093</w:t>
      </w:r>
      <w:r>
        <w:t xml:space="preserve"> </w:t>
      </w:r>
      <w:r>
        <w:t xml:space="preserve">против</w:t>
      </w:r>
      <w:r>
        <w:t xml:space="preserve"> </w:t>
      </w:r>
      <w:r>
        <w:rPr>
          <w:rStyle w:val="VerbatimChar"/>
        </w:rPr>
        <w:t xml:space="preserve">0.0100</w:t>
      </w:r>
      <w:r>
        <w:t xml:space="preserve">), но не снизил высоту эпидемического пика:</w:t>
      </w:r>
      <w:r>
        <w:t xml:space="preserve"> </w:t>
      </w:r>
      <w:r>
        <w:t xml:space="preserve">максимальная доля инфицированных даже выросла с</w:t>
      </w:r>
      <w:r>
        <w:t xml:space="preserve"> </w:t>
      </w:r>
      <w:r>
        <w:rPr>
          <w:rStyle w:val="VerbatimChar"/>
        </w:rPr>
        <w:t xml:space="preserve">0.2593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0.2873</w:t>
      </w:r>
      <w:r>
        <w:t xml:space="preserve">, а пик</w:t>
      </w:r>
      <w:r>
        <w:t xml:space="preserve"> </w:t>
      </w:r>
      <w:r>
        <w:t xml:space="preserve">наступил раньше. Это показывает, что выбранный порог срабатывания и момент</w:t>
      </w:r>
      <w:r>
        <w:t xml:space="preserve"> </w:t>
      </w:r>
      <w:r>
        <w:t xml:space="preserve">закрытия города важны не меньше самого факта введения ограничений.</w:t>
      </w:r>
    </w:p>
    <w:bookmarkEnd w:id="131"/>
    <w:bookmarkStart w:id="140" w:name="неоднородность-городов"/>
    <w:p>
      <w:pPr>
        <w:pStyle w:val="Heading3"/>
      </w:pPr>
      <w:r>
        <w:t xml:space="preserve">4.4.6 Неоднородность городов</w:t>
      </w:r>
    </w:p>
    <w:p>
      <w:pPr>
        <w:pStyle w:val="FirstParagraph"/>
      </w:pPr>
      <w:r>
        <w:t xml:space="preserve">В сценарии с неоднородными городами сравнивались два случая: однородный</w:t>
      </w:r>
      <w:r>
        <w:t xml:space="preserve"> </w:t>
      </w:r>
      <w:r>
        <w:rPr>
          <w:rStyle w:val="VerbatimChar"/>
        </w:rPr>
        <w:t xml:space="preserve">beta = 0.08</w:t>
      </w:r>
      <w:r>
        <w:t xml:space="preserve"> </w:t>
      </w:r>
      <w:r>
        <w:t xml:space="preserve">во всех городах и неоднородный набор</w:t>
      </w:r>
      <w:r>
        <w:t xml:space="preserve"> </w:t>
      </w:r>
      <w:r>
        <w:rPr>
          <w:rStyle w:val="VerbatimChar"/>
        </w:rPr>
        <w:t xml:space="preserve">beta = [0.12, 0.08, 0.04]</w:t>
      </w:r>
      <w:r>
        <w:t xml:space="preserve">. На</w:t>
      </w:r>
      <w:r>
        <w:t xml:space="preserve"> </w:t>
      </w:r>
      <w:hyperlink w:anchor="fig-extra-heterogeneity-overall">
        <w:r>
          <w:rPr>
            <w:rStyle w:val="Hyperlink"/>
          </w:rPr>
          <w:t xml:space="preserve">рис. 26</w:t>
        </w:r>
      </w:hyperlink>
      <w:r>
        <w:t xml:space="preserve"> </w:t>
      </w:r>
      <w:r>
        <w:t xml:space="preserve">показано, что неоднородность почти не меняет высоту суммарного пика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0.2387</w:t>
      </w:r>
      <w:r>
        <w:t xml:space="preserve"> </w:t>
      </w:r>
      <w:r>
        <w:t xml:space="preserve">против</w:t>
      </w:r>
      <w:r>
        <w:t xml:space="preserve"> </w:t>
      </w:r>
      <w:r>
        <w:rPr>
          <w:rStyle w:val="VerbatimChar"/>
        </w:rPr>
        <w:t xml:space="preserve">0.2413</w:t>
      </w:r>
      <w:r>
        <w:t xml:space="preserve">), но делает эпидемическую волну более ранней</w:t>
      </w:r>
      <w:r>
        <w:t xml:space="preserve"> </w:t>
      </w:r>
      <w:r>
        <w:t xml:space="preserve">(</w:t>
      </w:r>
      <w:r>
        <w:rPr>
          <w:rStyle w:val="VerbatimChar"/>
        </w:rPr>
        <w:t xml:space="preserve">51</w:t>
      </w:r>
      <w:r>
        <w:t xml:space="preserve"> </w:t>
      </w:r>
      <w:r>
        <w:t xml:space="preserve">шаг против</w:t>
      </w:r>
      <w:r>
        <w:t xml:space="preserve"> </w:t>
      </w:r>
      <w:r>
        <w:rPr>
          <w:rStyle w:val="VerbatimChar"/>
        </w:rPr>
        <w:t xml:space="preserve">59</w:t>
      </w:r>
      <w:r>
        <w:t xml:space="preserve">) и уменьшает итоговую смертность.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extra-heterogeneity-overall"/>
          <w:p>
            <w:pPr>
              <w:pStyle w:val="Compact"/>
              <w:jc w:val="center"/>
            </w:pPr>
            <w:r>
              <w:drawing>
                <wp:inline>
                  <wp:extent cx="4800600" cy="2713382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extra_sir_city_heterogeneity/overall_heterogeneity_compar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13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Сравнение общей динамики для однородного и неоднородного случаев</w:t>
            </w:r>
          </w:p>
          <w:bookmarkEnd w:id="135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extra-heterogeneity-cities">
        <w:r>
          <w:rPr>
            <w:rStyle w:val="Hyperlink"/>
          </w:rPr>
          <w:t xml:space="preserve">рис. 27</w:t>
        </w:r>
      </w:hyperlink>
      <w:r>
        <w:t xml:space="preserve"> </w:t>
      </w:r>
      <w:r>
        <w:t xml:space="preserve">приведены траектории</w:t>
      </w:r>
      <w:r>
        <w:t xml:space="preserve"> </w:t>
      </w:r>
      <w:r>
        <w:rPr>
          <w:rStyle w:val="VerbatimChar"/>
        </w:rPr>
        <w:t xml:space="preserve">S(t)</w:t>
      </w:r>
      <w:r>
        <w:t xml:space="preserve">,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R(t)</w:t>
      </w:r>
      <w:r>
        <w:t xml:space="preserve"> </w:t>
      </w:r>
      <w:r>
        <w:t xml:space="preserve">по отдельным городам. Видно, что увеличение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в одном городе</w:t>
      </w:r>
      <w:r>
        <w:t xml:space="preserve"> </w:t>
      </w:r>
      <w:r>
        <w:t xml:space="preserve">ускоряет локальную вспышку и изменяет форму суммарной кривой даже при близком</w:t>
      </w:r>
      <w:r>
        <w:t xml:space="preserve"> </w:t>
      </w:r>
      <w:r>
        <w:t xml:space="preserve">значении общего пика.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extra-heterogeneity-cities"/>
          <w:p>
            <w:pPr>
              <w:pStyle w:val="Compact"/>
              <w:jc w:val="center"/>
            </w:pPr>
            <w:r>
              <w:drawing>
                <wp:inline>
                  <wp:extent cx="4800600" cy="5114364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../project/plots/extra_sir_city_heterogeneity/city_dynamics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114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Покомпонентная динамика по городам в неоднородном сценарии</w:t>
            </w:r>
          </w:p>
          <w:bookmarkEnd w:id="139"/>
        </w:tc>
      </w:tr>
    </w:tbl>
    <w:bookmarkEnd w:id="140"/>
    <w:bookmarkStart w:id="149" w:name="сводная-визуализация-результатов"/>
    <w:p>
      <w:pPr>
        <w:pStyle w:val="Heading3"/>
      </w:pPr>
      <w:r>
        <w:t xml:space="preserve">4.4.7 Сводная визуализация результатов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lab04-extra-visual">
        <w:r>
          <w:rPr>
            <w:rStyle w:val="Hyperlink"/>
          </w:rPr>
          <w:t xml:space="preserve">рис. 28</w:t>
        </w:r>
      </w:hyperlink>
      <w:r>
        <w:t xml:space="preserve"> </w:t>
      </w:r>
      <w:r>
        <w:t xml:space="preserve">показан переход к сводной визуализации</w:t>
      </w:r>
      <w:r>
        <w:t xml:space="preserve"> </w:t>
      </w:r>
      <w:r>
        <w:t xml:space="preserve">динамики в скрипте</w:t>
      </w:r>
      <w:r>
        <w:t xml:space="preserve"> </w:t>
      </w:r>
      <w:r>
        <w:rPr>
          <w:rStyle w:val="VerbatimChar"/>
        </w:rPr>
        <w:t xml:space="preserve">extra_sir_visualize_dynamics.jl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ab04-extra-visual"/>
          <w:p>
            <w:pPr>
              <w:pStyle w:val="Compact"/>
              <w:jc w:val="center"/>
            </w:pPr>
            <w:r>
              <w:drawing>
                <wp:inline>
                  <wp:extent cx="5334000" cy="257886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Запуск скрипта extra_sir_visualize_dynamics.jl</w:t>
            </w:r>
          </w:p>
          <w:bookmarkEnd w:id="144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extra-comprehensive">
        <w:r>
          <w:rPr>
            <w:rStyle w:val="Hyperlink"/>
          </w:rPr>
          <w:t xml:space="preserve">рис. 29</w:t>
        </w:r>
      </w:hyperlink>
      <w:r>
        <w:t xml:space="preserve"> </w:t>
      </w:r>
      <w:r>
        <w:t xml:space="preserve">приведена итоговая трёхпанельная</w:t>
      </w:r>
      <w:r>
        <w:t xml:space="preserve"> </w:t>
      </w:r>
      <w:r>
        <w:t xml:space="preserve">визуализация результатов сканирования</w:t>
      </w:r>
      <w:r>
        <w:t xml:space="preserve"> </w:t>
      </w:r>
      <w:r>
        <w:rPr>
          <w:rStyle w:val="VerbatimChar"/>
        </w:rPr>
        <w:t xml:space="preserve">beta</w:t>
      </w:r>
      <w:r>
        <w:t xml:space="preserve">: отдельно показаны рост</w:t>
      </w:r>
      <w:r>
        <w:t xml:space="preserve"> </w:t>
      </w:r>
      <w:r>
        <w:t xml:space="preserve">максимальной доли заражённых, конечной доли инфицированных и смертности. Такая</w:t>
      </w:r>
      <w:r>
        <w:t xml:space="preserve"> </w:t>
      </w:r>
      <w:r>
        <w:t xml:space="preserve">форма представления удобна для сопоставления нескольких критериев качества</w:t>
      </w:r>
      <w:r>
        <w:t xml:space="preserve"> </w:t>
      </w:r>
      <w:r>
        <w:t xml:space="preserve">эпидемической динамики в одном исследовании.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extra-comprehensive"/>
          <w:p>
            <w:pPr>
              <w:pStyle w:val="Compact"/>
              <w:jc w:val="center"/>
            </w:pPr>
            <w:r>
              <w:drawing>
                <wp:inline>
                  <wp:extent cx="4800600" cy="5216652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../project/plots/extra_sir_visualize_dynamics/comprehensive_analysis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216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Сводная визуализация результатов сканирования beta</w:t>
            </w:r>
          </w:p>
          <w:bookmarkEnd w:id="148"/>
        </w:tc>
      </w:tr>
    </w:tbl>
    <w:bookmarkEnd w:id="149"/>
    <w:bookmarkEnd w:id="150"/>
    <w:bookmarkStart w:id="171" w:name="генерация-производных-материалов"/>
    <w:p>
      <w:pPr>
        <w:pStyle w:val="Heading2"/>
      </w:pPr>
      <w:r>
        <w:t xml:space="preserve">4.5 Генерация производных материалов</w:t>
      </w:r>
    </w:p>
    <w:p>
      <w:pPr>
        <w:pStyle w:val="FirstParagraph"/>
      </w:pPr>
      <w:r>
        <w:t xml:space="preserve">Из literate-кода были сгенерированы:</w:t>
      </w:r>
    </w:p>
    <w:p>
      <w:pPr>
        <w:pStyle w:val="Compact"/>
        <w:numPr>
          <w:ilvl w:val="0"/>
          <w:numId w:val="1007"/>
        </w:numPr>
      </w:pPr>
      <w:r>
        <w:t xml:space="preserve">чистые скрипты в</w:t>
      </w:r>
      <w:r>
        <w:t xml:space="preserve"> </w:t>
      </w:r>
      <w:r>
        <w:rPr>
          <w:rStyle w:val="VerbatimChar"/>
        </w:rPr>
        <w:t xml:space="preserve">scripts/clean/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Jupyter notebook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Quarto</w:t>
      </w:r>
      <w:r>
        <w:t xml:space="preserve">-файлы в</w:t>
      </w:r>
      <w:r>
        <w:t xml:space="preserve"> </w:t>
      </w:r>
      <w:r>
        <w:rPr>
          <w:rStyle w:val="VerbatimChar"/>
        </w:rPr>
        <w:t xml:space="preserve">markdown/</w:t>
      </w:r>
      <w:r>
        <w:t xml:space="preserve">.</w:t>
      </w:r>
    </w:p>
    <w:p>
      <w:pPr>
        <w:pStyle w:val="FirstParagraph"/>
      </w:pPr>
      <w:r>
        <w:t xml:space="preserve">Оба notebook были выполнены через</w:t>
      </w:r>
      <w:r>
        <w:t xml:space="preserve"> </w:t>
      </w:r>
      <w:r>
        <w:rPr>
          <w:rStyle w:val="VerbatimChar"/>
        </w:rPr>
        <w:t xml:space="preserve">nbconvert</w:t>
      </w:r>
      <w:r>
        <w:t xml:space="preserve">, что подтверждает</w:t>
      </w:r>
      <w:r>
        <w:t xml:space="preserve"> </w:t>
      </w:r>
      <w:r>
        <w:t xml:space="preserve">воспроизводимость проекта.</w:t>
      </w:r>
    </w:p>
    <w:p>
      <w:pPr>
        <w:pStyle w:val="BodyText"/>
      </w:pPr>
      <w:r>
        <w:t xml:space="preserve">На</w:t>
      </w:r>
      <w:r>
        <w:t xml:space="preserve"> </w:t>
      </w:r>
      <w:hyperlink w:anchor="fig-lab04-generate-01">
        <w:r>
          <w:rPr>
            <w:rStyle w:val="Hyperlink"/>
          </w:rPr>
          <w:t xml:space="preserve">рис. 30</w:t>
        </w:r>
      </w:hyperlink>
      <w:r>
        <w:t xml:space="preserve"> </w:t>
      </w:r>
      <w:r>
        <w:t xml:space="preserve">показана генерация производных форматов для</w:t>
      </w:r>
      <w:r>
        <w:t xml:space="preserve"> </w:t>
      </w:r>
      <w:r>
        <w:t xml:space="preserve">базового literate-скрипта</w:t>
      </w:r>
      <w:r>
        <w:t xml:space="preserve"> </w:t>
      </w:r>
      <w:r>
        <w:rPr>
          <w:rStyle w:val="VerbatimChar"/>
        </w:rPr>
        <w:t xml:space="preserve">01_sir_agents.jl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lab04-generate-01"/>
          <w:p>
            <w:pPr>
              <w:pStyle w:val="Compact"/>
              <w:jc w:val="center"/>
            </w:pPr>
            <w:r>
              <w:drawing>
                <wp:inline>
                  <wp:extent cx="4800600" cy="1242752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42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Генерация производных форматов для 01_sir_agents.jl</w:t>
            </w:r>
          </w:p>
          <w:bookmarkEnd w:id="154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4-generate-batch-1">
        <w:r>
          <w:rPr>
            <w:rStyle w:val="Hyperlink"/>
          </w:rPr>
          <w:t xml:space="preserve">рис. 31</w:t>
        </w:r>
      </w:hyperlink>
      <w:r>
        <w:t xml:space="preserve"> </w:t>
      </w:r>
      <w:r>
        <w:t xml:space="preserve">и</w:t>
      </w:r>
      <w:r>
        <w:t xml:space="preserve"> </w:t>
      </w:r>
      <w:hyperlink w:anchor="fig-lab04-generate-batch-2">
        <w:r>
          <w:rPr>
            <w:rStyle w:val="Hyperlink"/>
          </w:rPr>
          <w:t xml:space="preserve">рис. 32</w:t>
        </w:r>
      </w:hyperlink>
      <w:r>
        <w:t xml:space="preserve"> </w:t>
      </w:r>
      <w:r>
        <w:t xml:space="preserve">показаны последовательные фрагменты пакетной генерации literate-материалов.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lab04-generate-batch-1"/>
          <w:p>
            <w:pPr>
              <w:pStyle w:val="Compact"/>
              <w:jc w:val="center"/>
            </w:pPr>
            <w:r>
              <w:drawing>
                <wp:inline>
                  <wp:extent cx="4800600" cy="1242752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42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Фрагмент пакетной генерации производных форматов</w:t>
            </w:r>
          </w:p>
          <w:bookmarkEnd w:id="1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lab04-generate-batch-2"/>
          <w:p>
            <w:pPr>
              <w:pStyle w:val="Compact"/>
              <w:jc w:val="center"/>
            </w:pPr>
            <w:r>
              <w:drawing>
                <wp:inline>
                  <wp:extent cx="4800600" cy="1242752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42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Продолжение пакетной генерации производных форматов</w:t>
            </w:r>
          </w:p>
          <w:bookmarkEnd w:id="162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4-generate-end">
        <w:r>
          <w:rPr>
            <w:rStyle w:val="Hyperlink"/>
          </w:rPr>
          <w:t xml:space="preserve">рис. 33</w:t>
        </w:r>
      </w:hyperlink>
      <w:r>
        <w:t xml:space="preserve"> </w:t>
      </w:r>
      <w:r>
        <w:t xml:space="preserve">показано завершение пакетной генерации</w:t>
      </w:r>
      <w:r>
        <w:t xml:space="preserve"> </w:t>
      </w:r>
      <w:r>
        <w:t xml:space="preserve">производных материалов.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ab04-generate-end"/>
          <w:p>
            <w:pPr>
              <w:pStyle w:val="Compact"/>
              <w:jc w:val="center"/>
            </w:pPr>
            <w:r>
              <w:drawing>
                <wp:inline>
                  <wp:extent cx="4800600" cy="1242752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42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Завершение пакетной генерации literate-материалов</w:t>
            </w:r>
          </w:p>
          <w:bookmarkEnd w:id="166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4-generate-current">
        <w:r>
          <w:rPr>
            <w:rStyle w:val="Hyperlink"/>
          </w:rPr>
          <w:t xml:space="preserve">рис. 34</w:t>
        </w:r>
      </w:hyperlink>
      <w:r>
        <w:t xml:space="preserve"> </w:t>
      </w:r>
      <w:r>
        <w:t xml:space="preserve">показана генерация файлов для текущих</w:t>
      </w:r>
      <w:r>
        <w:t xml:space="preserve"> </w:t>
      </w:r>
      <w:r>
        <w:t xml:space="preserve">скриптов</w:t>
      </w:r>
      <w:r>
        <w:t xml:space="preserve"> </w:t>
      </w:r>
      <w:r>
        <w:rPr>
          <w:rStyle w:val="VerbatimChar"/>
        </w:rPr>
        <w:t xml:space="preserve">01_sir_agents.jl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02_sir_agents_param.jl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lab04-generate-current"/>
          <w:p>
            <w:pPr>
              <w:pStyle w:val="Compact"/>
              <w:jc w:val="center"/>
            </w:pPr>
            <w:r>
              <w:drawing>
                <wp:inline>
                  <wp:extent cx="5067300" cy="1794668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794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Пакетная генерация производных файлов для SIR-сценариев</w:t>
            </w:r>
          </w:p>
          <w:bookmarkEnd w:id="170"/>
        </w:tc>
      </w:tr>
    </w:tbl>
    <w:bookmarkEnd w:id="171"/>
    <w:bookmarkEnd w:id="172"/>
    <w:bookmarkStart w:id="17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лабораторной работе реализована модель болезни</w:t>
      </w:r>
      <w:r>
        <w:t xml:space="preserve"> </w:t>
      </w:r>
      <w:r>
        <w:rPr>
          <w:rStyle w:val="VerbatimChar"/>
        </w:rPr>
        <w:t xml:space="preserve">SIR</w:t>
      </w:r>
      <w:r>
        <w:t xml:space="preserve"> </w:t>
      </w:r>
      <w:r>
        <w:t xml:space="preserve">в агентном подходе и</w:t>
      </w:r>
      <w:r>
        <w:t xml:space="preserve"> </w:t>
      </w:r>
      <w:r>
        <w:t xml:space="preserve">выполнено дополнительное параметрическое исследование. Получены графики</w:t>
      </w:r>
      <w:r>
        <w:t xml:space="preserve"> </w:t>
      </w:r>
      <w:r>
        <w:t xml:space="preserve">динамики состояний, фазовый портрет, график эффективного репродуктивного числа</w:t>
      </w:r>
      <w:r>
        <w:t xml:space="preserve"> </w:t>
      </w:r>
      <w:r>
        <w:t xml:space="preserve">и сравнительный график параметрических сценариев.</w:t>
      </w:r>
    </w:p>
    <w:p>
      <w:pPr>
        <w:pStyle w:val="BodyText"/>
      </w:pPr>
      <w:r>
        <w:t xml:space="preserve">В дополнительном задании исследована расширенная многогородная SIR-модель с</w:t>
      </w:r>
      <w:r>
        <w:t xml:space="preserve"> </w:t>
      </w:r>
      <w:r>
        <w:t xml:space="preserve">миграцией, неоднородными коэффициентами передачи, карантином, поиском</w:t>
      </w:r>
      <w:r>
        <w:t xml:space="preserve"> </w:t>
      </w:r>
      <w:r>
        <w:t xml:space="preserve">эпидемического порога и подбором параметров. Построенные графики показали</w:t>
      </w:r>
      <w:r>
        <w:t xml:space="preserve"> </w:t>
      </w:r>
      <w:r>
        <w:t xml:space="preserve">хорошее согласование наблюдаемого порога с теоретическим условием</w:t>
      </w:r>
      <w:r>
        <w:t xml:space="preserve"> </w:t>
      </w:r>
      <w:r>
        <w:rPr>
          <w:rStyle w:val="VerbatimChar"/>
        </w:rPr>
        <w:t xml:space="preserve">R0 = 1</w:t>
      </w:r>
      <w:r>
        <w:t xml:space="preserve">,</w:t>
      </w:r>
      <w:r>
        <w:t xml:space="preserve"> </w:t>
      </w:r>
      <w:r>
        <w:t xml:space="preserve">сильное влияние миграции на масштаб вспышки и чувствительность итоговой</w:t>
      </w:r>
      <w:r>
        <w:t xml:space="preserve"> </w:t>
      </w:r>
      <w:r>
        <w:t xml:space="preserve">смертности к раннему выявлению инфекции.</w:t>
      </w:r>
    </w:p>
    <w:p>
      <w:pPr>
        <w:pStyle w:val="BodyText"/>
      </w:pPr>
      <w:r>
        <w:t xml:space="preserve">Также были сгенерированы и выполнены производные форматы literate-кода:</w:t>
      </w:r>
      <w:r>
        <w:t xml:space="preserve"> </w:t>
      </w:r>
      <w:r>
        <w:t xml:space="preserve">чистые скрипты, notebook и Quarto-документация. Результаты всех основных и</w:t>
      </w:r>
      <w:r>
        <w:t xml:space="preserve"> </w:t>
      </w:r>
      <w:r>
        <w:t xml:space="preserve">дополнительных запусков интегрированы в итоговый отчёт.</w:t>
      </w:r>
    </w:p>
    <w:bookmarkEnd w:id="173"/>
    <w:bookmarkStart w:id="175" w:name="список-литературы"/>
    <w:p>
      <w:pPr>
        <w:pStyle w:val="Heading1"/>
      </w:pPr>
      <w:r>
        <w:t xml:space="preserve">Список литературы</w:t>
      </w:r>
    </w:p>
    <w:bookmarkStart w:id="174" w:name="refs"/>
    <w:bookmarkEnd w:id="174"/>
    <w:bookmarkEnd w:id="1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52" Target="media/rId52.png" /><Relationship Type="http://schemas.openxmlformats.org/officeDocument/2006/relationships/image" Id="rId64" Target="media/rId64.png" /><Relationship Type="http://schemas.openxmlformats.org/officeDocument/2006/relationships/image" Id="rId48" Target="media/rId48.png" /><Relationship Type="http://schemas.openxmlformats.org/officeDocument/2006/relationships/image" Id="rId72" Target="media/rId72.png" /><Relationship Type="http://schemas.openxmlformats.org/officeDocument/2006/relationships/image" Id="rId56" Target="media/rId56.png" /><Relationship Type="http://schemas.openxmlformats.org/officeDocument/2006/relationships/image" Id="rId68" Target="media/rId68.png" /><Relationship Type="http://schemas.openxmlformats.org/officeDocument/2006/relationships/image" Id="rId78" Target="media/rId78.png" /><Relationship Type="http://schemas.openxmlformats.org/officeDocument/2006/relationships/image" Id="rId136" Target="media/rId136.png" /><Relationship Type="http://schemas.openxmlformats.org/officeDocument/2006/relationships/image" Id="rId132" Target="media/rId132.png" /><Relationship Type="http://schemas.openxmlformats.org/officeDocument/2006/relationships/image" Id="rId109" Target="media/rId109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45" Target="media/rId145.png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44" Target="media/rId4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167" Target="media/rId167.png" /><Relationship Type="http://schemas.openxmlformats.org/officeDocument/2006/relationships/image" Id="rId83" Target="media/rId83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41" Target="media/rId1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Курилко-Рюмин Евгений Михайлович</dc:creator>
  <dc:language>ru-RU</dc:language>
  <cp:keywords/>
  <dcterms:created xsi:type="dcterms:W3CDTF">2026-04-04T16:08:38Z</dcterms:created>
  <dcterms:modified xsi:type="dcterms:W3CDTF">2026-04-04T16:08:38Z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модели болезни в агентном подходе</vt:lpwstr>
  </property>
  <property fmtid="{D5CDD505-2E9C-101B-9397-08002B2CF9AE}" pid="16" name="toc-title">
    <vt:lpwstr>Содержание</vt:lpwstr>
  </property>
</Properties>
</file>