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9.png" ContentType="image/png"/>
  <Override PartName="/word/media/rId43.png" ContentType="image/png"/>
  <Override PartName="/word/media/rId56.png" ContentType="image/png"/>
  <Override PartName="/word/media/rId4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78.png" ContentType="image/png"/>
  <Override PartName="/word/media/rId51.png" ContentType="image/png"/>
  <Override PartName="/word/media/rId60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Реализация модели SIR в подходе сетей Петри</w:t>
      </w:r>
    </w:p>
    <w:p>
      <w:pPr>
        <w:pStyle w:val="Author"/>
      </w:pPr>
      <w:r>
        <w:t xml:space="preserve">Курилко-Рюмин Евгений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реализация эпидемиологической модели</w:t>
      </w:r>
      <w:r>
        <w:t xml:space="preserve"> </w:t>
      </w:r>
      <w:r>
        <w:rPr>
          <w:rStyle w:val="VerbatimChar"/>
        </w:rPr>
        <w:t xml:space="preserve">SIR</w:t>
      </w:r>
      <w:r>
        <w:t xml:space="preserve"> </w:t>
      </w:r>
      <w:r>
        <w:t xml:space="preserve">средствами сетей Петри, сравнение детерминированной и стохастической</w:t>
      </w:r>
      <w:r>
        <w:t xml:space="preserve"> </w:t>
      </w:r>
      <w:r>
        <w:t xml:space="preserve">динамики эпидемии, а также подготовка воспроизводимого проекта с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-скриптами,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-документацией и итоговым</w:t>
      </w:r>
      <w:r>
        <w:t xml:space="preserve"> </w:t>
      </w:r>
      <w:r>
        <w:t xml:space="preserve">отчётом.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 и выполнить предложенный код модели</w:t>
      </w:r>
      <w:r>
        <w:t xml:space="preserve"> </w:t>
      </w:r>
      <w:r>
        <w:rPr>
          <w:rStyle w:val="VerbatimChar"/>
        </w:rPr>
        <w:t xml:space="preserve">SIR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Подготовить literate-версии базового сценария и сценария для набора</w:t>
      </w:r>
      <w:r>
        <w:t xml:space="preserve"> </w:t>
      </w:r>
      <w:r>
        <w:t xml:space="preserve">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literate-кода чистые</w:t>
      </w:r>
      <w:r>
        <w:t xml:space="preserve"> </w:t>
      </w:r>
      <w:r>
        <w:rPr>
          <w:rStyle w:val="VerbatimChar"/>
        </w:rPr>
        <w:t xml:space="preserve">jl</w:t>
      </w:r>
      <w:r>
        <w:t xml:space="preserve">-файлы,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Исследовать чувствительность модели к изменению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графики, анимацию и итоговый сравнительный отчёт.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результаты в итоговый документ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.</w:t>
      </w:r>
    </w:p>
    <w:bookmarkEnd w:id="21"/>
    <w:bookmarkStart w:id="22" w:name="исследовательская-постановка"/>
    <w:p>
      <w:pPr>
        <w:pStyle w:val="Heading1"/>
      </w:pPr>
      <w:r>
        <w:t xml:space="preserve">3. Исследовательская постановка</w:t>
      </w:r>
    </w:p>
    <w:p>
      <w:pPr>
        <w:pStyle w:val="FirstParagraph"/>
      </w:pPr>
      <w:r>
        <w:t xml:space="preserve">В этой лабораторной работе важно было не просто реализовать модель</w:t>
      </w:r>
      <w:r>
        <w:t xml:space="preserve"> </w:t>
      </w:r>
      <w:r>
        <w:rPr>
          <w:rStyle w:val="VerbatimChar"/>
        </w:rPr>
        <w:t xml:space="preserve">SIR</w:t>
      </w:r>
      <w:r>
        <w:t xml:space="preserve">,</w:t>
      </w:r>
      <w:r>
        <w:t xml:space="preserve"> </w:t>
      </w:r>
      <w:r>
        <w:t xml:space="preserve">а проследить, как одна и та же сеть Петри ведёт себя в двух режимах</w:t>
      </w:r>
      <w:r>
        <w:t xml:space="preserve"> </w:t>
      </w:r>
      <w:r>
        <w:t xml:space="preserve">симуляции. Первый режим даёт сглаженную детерминированную траекторию,</w:t>
      </w:r>
      <w:r>
        <w:t xml:space="preserve"> </w:t>
      </w:r>
      <w:r>
        <w:t xml:space="preserve">второй — стохастическую реализацию с флуктуациями. Дополнительно</w:t>
      </w:r>
      <w:r>
        <w:t xml:space="preserve"> </w:t>
      </w:r>
      <w:r>
        <w:t xml:space="preserve">исследовалось влияние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на форму эпидемической</w:t>
      </w:r>
      <w:r>
        <w:t xml:space="preserve"> </w:t>
      </w:r>
      <w:r>
        <w:t xml:space="preserve">волны.</w:t>
      </w:r>
    </w:p>
    <w:p>
      <w:pPr>
        <w:pStyle w:val="BodyText"/>
      </w:pPr>
      <w:r>
        <w:t xml:space="preserve">Таким образом, вычислительный эксперимент строился вокруг двух вопросов:</w:t>
      </w:r>
    </w:p>
    <w:p>
      <w:pPr>
        <w:pStyle w:val="Compact"/>
        <w:numPr>
          <w:ilvl w:val="0"/>
          <w:numId w:val="1002"/>
        </w:numPr>
      </w:pPr>
      <w:r>
        <w:t xml:space="preserve">насколько согласуются детерминированная и стохастическая версии модели;</w:t>
      </w:r>
    </w:p>
    <w:p>
      <w:pPr>
        <w:pStyle w:val="Compact"/>
        <w:numPr>
          <w:ilvl w:val="0"/>
          <w:numId w:val="1002"/>
        </w:numPr>
      </w:pPr>
      <w:r>
        <w:t xml:space="preserve">как изменение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влияет на пик инфекции и итоговое число переболевших.</w:t>
      </w:r>
    </w:p>
    <w:bookmarkEnd w:id="22"/>
    <w:bookmarkStart w:id="23" w:name="теоретическая-основа-модели"/>
    <w:p>
      <w:pPr>
        <w:pStyle w:val="Heading1"/>
      </w:pPr>
      <w:r>
        <w:t xml:space="preserve">4. Теоретическая основа модели</w:t>
      </w:r>
    </w:p>
    <w:p>
      <w:pPr>
        <w:pStyle w:val="FirstParagraph"/>
      </w:pPr>
      <w:r>
        <w:t xml:space="preserve">Классическая модель</w:t>
      </w:r>
      <w:r>
        <w:t xml:space="preserve"> </w:t>
      </w:r>
      <w:r>
        <w:rPr>
          <w:rStyle w:val="VerbatimChar"/>
        </w:rPr>
        <w:t xml:space="preserve">SIR</w:t>
      </w:r>
      <w:r>
        <w:t xml:space="preserve">, предложенная Кермаком и Маккендриком,</w:t>
      </w:r>
      <w:r>
        <w:t xml:space="preserve"> </w:t>
      </w:r>
      <w:r>
        <w:t xml:space="preserve">разбивает популяцию на три группы: восприимчивые</w:t>
      </w:r>
      <w:r>
        <w:t xml:space="preserve"> </w:t>
      </w:r>
      <w:r>
        <w:rPr>
          <w:rStyle w:val="VerbatimChar"/>
        </w:rPr>
        <w:t xml:space="preserve">S</w:t>
      </w:r>
      <w:r>
        <w:t xml:space="preserve">, инфицированные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выздоровевшие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[1]</w:t>
      </w:r>
      <w:r>
        <w:t xml:space="preserve">. Переходы между состояниями</w:t>
      </w:r>
      <w:r>
        <w:t xml:space="preserve"> </w:t>
      </w:r>
      <w:r>
        <w:t xml:space="preserve">в простейшей постановке задаются двумя реакциями:</w:t>
      </w:r>
    </w:p>
    <w:p>
      <w:pPr>
        <w:pStyle w:val="Compact"/>
        <w:numPr>
          <w:ilvl w:val="0"/>
          <w:numId w:val="1003"/>
        </w:numPr>
      </w:pPr>
      <w:r>
        <w:t xml:space="preserve">заражение:</w:t>
      </w:r>
      <w:r>
        <w:t xml:space="preserve"> </w:t>
      </w:r>
      <w:r>
        <w:rPr>
          <w:rStyle w:val="VerbatimChar"/>
        </w:rPr>
        <w:t xml:space="preserve">S + I → I + I</w:t>
      </w:r>
      <w:r>
        <w:t xml:space="preserve"> </w:t>
      </w:r>
      <w:r>
        <w:t xml:space="preserve">со скоростью</w:t>
      </w:r>
      <w:r>
        <w:t xml:space="preserve"> </w:t>
      </w:r>
      <w:r>
        <w:rPr>
          <w:rStyle w:val="VerbatimChar"/>
        </w:rPr>
        <w:t xml:space="preserve">β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выздоровление:</w:t>
      </w:r>
      <w:r>
        <w:t xml:space="preserve"> </w:t>
      </w:r>
      <w:r>
        <w:rPr>
          <w:rStyle w:val="VerbatimChar"/>
        </w:rPr>
        <w:t xml:space="preserve">I → R</w:t>
      </w:r>
      <w:r>
        <w:t xml:space="preserve"> </w:t>
      </w:r>
      <w:r>
        <w:t xml:space="preserve">со скоростью</w:t>
      </w:r>
      <w:r>
        <w:t xml:space="preserve"> </w:t>
      </w:r>
      <w:r>
        <w:rPr>
          <w:rStyle w:val="VerbatimChar"/>
        </w:rPr>
        <w:t xml:space="preserve">γ</w:t>
      </w:r>
      <w:r>
        <w:t xml:space="preserve">.</w:t>
      </w:r>
    </w:p>
    <w:p>
      <w:pPr>
        <w:pStyle w:val="FirstParagraph"/>
      </w:pPr>
      <w:r>
        <w:t xml:space="preserve">Сети Петри удобны для такого описания, потому что позиции естественным</w:t>
      </w:r>
      <w:r>
        <w:t xml:space="preserve"> </w:t>
      </w:r>
      <w:r>
        <w:t xml:space="preserve">образом представляют состояния системы, а переходы моделируют события и</w:t>
      </w:r>
      <w:r>
        <w:t xml:space="preserve"> </w:t>
      </w:r>
      <w:r>
        <w:t xml:space="preserve">изменение маркировки</w:t>
      </w:r>
      <w:r>
        <w:t xml:space="preserve"> </w:t>
      </w:r>
      <w:r>
        <w:t xml:space="preserve">[2]</w:t>
      </w:r>
      <w:r>
        <w:t xml:space="preserve">. В данной лабораторной работе</w:t>
      </w:r>
      <w:r>
        <w:t xml:space="preserve"> </w:t>
      </w:r>
      <w:r>
        <w:t xml:space="preserve">использовалась минимальная сеть из трёх позиций (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 и двух</w:t>
      </w:r>
      <w:r>
        <w:t xml:space="preserve"> </w:t>
      </w:r>
      <w:r>
        <w:t xml:space="preserve">переходов (</w:t>
      </w:r>
      <w:r>
        <w:rPr>
          <w:rStyle w:val="VerbatimChar"/>
        </w:rPr>
        <w:t xml:space="preserve">infection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), что позволило описать как</w:t>
      </w:r>
      <w:r>
        <w:t xml:space="preserve"> </w:t>
      </w:r>
      <w:r>
        <w:t xml:space="preserve">детерминированную, так и стохастическую версию одной и той же модели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Детерминированная симуляция строится по закону действующих масс и приводит</w:t>
      </w:r>
      <w:r>
        <w:t xml:space="preserve"> </w:t>
      </w:r>
      <w:r>
        <w:t xml:space="preserve">к системе обыкновенных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этих уравнений следует ожидаемое поведение системы: при увеличении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эпидемическая волна должна становиться интенсивнее, а стохастическая версия</w:t>
      </w:r>
      <w:r>
        <w:t xml:space="preserve"> </w:t>
      </w:r>
      <w:r>
        <w:t xml:space="preserve">должна сохранять общую форму процесса, но демонстрировать случайные</w:t>
      </w:r>
      <w:r>
        <w:t xml:space="preserve"> </w:t>
      </w:r>
      <w:r>
        <w:t xml:space="preserve">отклонения относительно сглаженной траектории.</w:t>
      </w:r>
    </w:p>
    <w:bookmarkEnd w:id="23"/>
    <w:bookmarkStart w:id="83" w:name="ход-вычислительного-исследования"/>
    <w:p>
      <w:pPr>
        <w:pStyle w:val="Heading1"/>
      </w:pPr>
      <w:r>
        <w:t xml:space="preserve">5. Ход вычислительного исследования</w:t>
      </w:r>
    </w:p>
    <w:bookmarkStart w:id="41" w:name="архитектура-проекта-и-реализация-модели"/>
    <w:p>
      <w:pPr>
        <w:pStyle w:val="Heading2"/>
      </w:pPr>
      <w:r>
        <w:t xml:space="preserve">5.1 Архитектура проекта и реализация модели</w:t>
      </w:r>
    </w:p>
    <w:p>
      <w:pPr>
        <w:pStyle w:val="FirstParagraph"/>
      </w:pPr>
      <w:r>
        <w:t xml:space="preserve">Работа выполнялась в каталоге</w:t>
      </w:r>
      <w:r>
        <w:t xml:space="preserve"> </w:t>
      </w:r>
      <w:r>
        <w:rPr>
          <w:rStyle w:val="VerbatimChar"/>
        </w:rPr>
        <w:t xml:space="preserve">labs/lab06/project</w:t>
      </w:r>
      <w:r>
        <w:t xml:space="preserve">, организованном в</w:t>
      </w:r>
      <w:r>
        <w:t xml:space="preserve"> </w:t>
      </w:r>
      <w:r>
        <w:t xml:space="preserve">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 В окружении использовались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.</w:t>
      </w:r>
    </w:p>
    <w:p>
      <w:pPr>
        <w:pStyle w:val="BodyText"/>
      </w:pPr>
      <w:r>
        <w:t xml:space="preserve">Основная логика модели размещена в</w:t>
      </w:r>
      <w:r>
        <w:t xml:space="preserve"> </w:t>
      </w:r>
      <w:r>
        <w:rPr>
          <w:rStyle w:val="VerbatimChar"/>
        </w:rPr>
        <w:t xml:space="preserve">src/SIRPetri.jl</w:t>
      </w:r>
      <w:r>
        <w:t xml:space="preserve">. В этом модуле заданы:</w:t>
      </w:r>
    </w:p>
    <w:p>
      <w:pPr>
        <w:pStyle w:val="Compact"/>
        <w:numPr>
          <w:ilvl w:val="0"/>
          <w:numId w:val="1004"/>
        </w:numPr>
      </w:pPr>
      <w:r>
        <w:t xml:space="preserve">построение сети</w:t>
      </w:r>
      <w:r>
        <w:t xml:space="preserve"> </w:t>
      </w:r>
      <w:r>
        <w:rPr>
          <w:rStyle w:val="VerbatimChar"/>
        </w:rPr>
        <w:t xml:space="preserve">build_sir_network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детерминированная симуляция</w:t>
      </w:r>
      <w:r>
        <w:t xml:space="preserve"> </w:t>
      </w:r>
      <w:r>
        <w:rPr>
          <w:rStyle w:val="VerbatimChar"/>
        </w:rPr>
        <w:t xml:space="preserve">simulate_deterministic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стохастическая симуляция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функции визуализации</w:t>
      </w:r>
      <w:r>
        <w:t xml:space="preserve"> </w:t>
      </w:r>
      <w:r>
        <w:rPr>
          <w:rStyle w:val="VerbatimChar"/>
        </w:rPr>
        <w:t xml:space="preserve">plot_sir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plot_compare_infected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plot_scan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функция анимации</w:t>
      </w:r>
      <w:r>
        <w:t xml:space="preserve"> </w:t>
      </w:r>
      <w:r>
        <w:rPr>
          <w:rStyle w:val="VerbatimChar"/>
        </w:rPr>
        <w:t xml:space="preserve">animate_sir</w:t>
      </w:r>
      <w:r>
        <w:t xml:space="preserve">.</w:t>
      </w:r>
    </w:p>
    <w:p>
      <w:pPr>
        <w:pStyle w:val="FirstParagraph"/>
      </w:pPr>
      <w:r>
        <w:t xml:space="preserve">Для проведения экспериментов и постобработки использовались следующие</w:t>
      </w:r>
      <w:r>
        <w:t xml:space="preserve"> </w:t>
      </w:r>
      <w:r>
        <w:t xml:space="preserve">файлы: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lab06-fil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файлы лабораторной работы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src/SIRPetri.jl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модели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SIR</w:t>
                  </w:r>
                  <w:r>
                    <w:t xml:space="preserve"> </w:t>
                  </w:r>
                  <w:r>
                    <w:t xml:space="preserve">в подходе сетей Петри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scripts/sirpetri_run.jl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базовый literate-сценарий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scripts/sirpetri_scan_parameters.jl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исследование набора параметров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scripts/sirpetri_animate.jl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построение GIF-анимации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scripts/sirpetri_report.jl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построение итоговых графиков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scripts/generate_all.jl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генерация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clean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qmd</w:t>
                  </w:r>
                  <w:r>
                    <w:t xml:space="preserve"> </w:t>
                  </w:r>
                  <w:r>
                    <w:t xml:space="preserve">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ipynb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На этапе подготовки проекта отдельно были проверены окружение и ключевые</w:t>
      </w:r>
      <w:r>
        <w:t xml:space="preserve"> </w:t>
      </w:r>
      <w:r>
        <w:t xml:space="preserve">исходные файлы, определяющие общую структуру лабораторной работы. На</w:t>
      </w:r>
      <w:r>
        <w:t xml:space="preserve"> </w:t>
      </w:r>
      <w:hyperlink w:anchor="fig-lab06-env-screen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показана инициализация зависимостей проекта, а</w:t>
      </w:r>
      <w:r>
        <w:t xml:space="preserve"> </w:t>
      </w:r>
      <w:r>
        <w:t xml:space="preserve">на</w:t>
      </w:r>
      <w:r>
        <w:t xml:space="preserve"> </w:t>
      </w:r>
      <w:hyperlink w:anchor="fig-lab06-module-screen">
        <w:r>
          <w:rPr>
            <w:rStyle w:val="Hyperlink"/>
          </w:rPr>
          <w:t xml:space="preserve">рис. 2</w:t>
        </w:r>
      </w:hyperlink>
      <w:r>
        <w:t xml:space="preserve">–</w:t>
      </w:r>
      <w:hyperlink w:anchor="fig-lab06-post-screen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–</w:t>
      </w:r>
      <w:r>
        <w:t xml:space="preserve"> </w:t>
      </w:r>
      <w:r>
        <w:t xml:space="preserve">просмотр основного модуля модели и сценариев, отвечающих за эксперимент и</w:t>
      </w:r>
      <w:r>
        <w:t xml:space="preserve"> </w:t>
      </w:r>
      <w:r>
        <w:t xml:space="preserve">постобработку результатов.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lab06-env-screen"/>
          <w:p>
            <w:pPr>
              <w:pStyle w:val="Compact"/>
              <w:jc w:val="center"/>
            </w:pPr>
            <w:r>
              <w:drawing>
                <wp:inline>
                  <wp:extent cx="5334000" cy="29275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1_environment_setu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2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Подготовка окружения проекта и проверка зависимостей</w:t>
            </w:r>
            <w:r>
              <w:t xml:space="preserve"> </w:t>
            </w:r>
            <w:r>
              <w:rPr>
                <w:rStyle w:val="VerbatimChar"/>
              </w:rPr>
              <w:t xml:space="preserve">Julia</w:t>
            </w:r>
            <w:r>
              <w:t xml:space="preserve">.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lab06-module-screen"/>
          <w:p>
            <w:pPr>
              <w:pStyle w:val="Compact"/>
              <w:jc w:val="center"/>
            </w:pPr>
            <w:r>
              <w:drawing>
                <wp:inline>
                  <wp:extent cx="5334000" cy="29275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2_model_module_edi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2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модуля</w:t>
            </w:r>
            <w:r>
              <w:t xml:space="preserve"> </w:t>
            </w:r>
            <w:r>
              <w:rPr>
                <w:rStyle w:val="VerbatimChar"/>
              </w:rPr>
              <w:t xml:space="preserve">SIRPetri.jl</w:t>
            </w:r>
            <w:r>
              <w:t xml:space="preserve">, содержащего описание сети Петри и функции симуляции.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lab06-main-screen"/>
          <w:p>
            <w:pPr>
              <w:pStyle w:val="Compact"/>
              <w:jc w:val="center"/>
            </w:pPr>
            <w:r>
              <w:drawing>
                <wp:inline>
                  <wp:extent cx="5334000" cy="29275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3_experiment_scripts_edi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2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основных сценариев эксперимента</w:t>
            </w:r>
            <w:r>
              <w:t xml:space="preserve"> </w:t>
            </w:r>
            <w:r>
              <w:rPr>
                <w:rStyle w:val="VerbatimChar"/>
              </w:rPr>
              <w:t xml:space="preserve">sirpetri_run.jl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sirpetri_scan_parameters.jl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lab06-post-screen"/>
          <w:p>
            <w:pPr>
              <w:pStyle w:val="Compact"/>
              <w:jc w:val="center"/>
            </w:pPr>
            <w:r>
              <w:drawing>
                <wp:inline>
                  <wp:extent cx="5334000" cy="29275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4_postprocessing_scripts_edi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2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сценариев постобработки</w:t>
            </w:r>
            <w:r>
              <w:t xml:space="preserve"> </w:t>
            </w:r>
            <w:r>
              <w:rPr>
                <w:rStyle w:val="VerbatimChar"/>
              </w:rPr>
              <w:t xml:space="preserve">sirpetri_animate.jl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sirpetri_report.jl</w:t>
            </w:r>
            <w:r>
              <w:t xml:space="preserve">.</w:t>
            </w:r>
          </w:p>
          <w:bookmarkEnd w:id="40"/>
        </w:tc>
      </w:tr>
    </w:tbl>
    <w:bookmarkEnd w:id="41"/>
    <w:bookmarkStart w:id="42" w:name="план-вычислительного-эксперимента"/>
    <w:p>
      <w:pPr>
        <w:pStyle w:val="Heading2"/>
      </w:pPr>
      <w:r>
        <w:t xml:space="preserve">5.2 План вычислительного эксперимента</w:t>
      </w:r>
    </w:p>
    <w:p>
      <w:pPr>
        <w:pStyle w:val="FirstParagraph"/>
      </w:pPr>
      <w:r>
        <w:t xml:space="preserve">Исследование было организовано в три этапа. Сначала выполнялся базовый</w:t>
      </w:r>
      <w:r>
        <w:t xml:space="preserve"> </w:t>
      </w:r>
      <w:r>
        <w:t xml:space="preserve">запуск при фиксированных параметрах, чтобы сравнить детерминированную и</w:t>
      </w:r>
      <w:r>
        <w:t xml:space="preserve"> </w:t>
      </w:r>
      <w:r>
        <w:t xml:space="preserve">стохастическую динамику. Затем проводилась серия запусков с варьированием</w:t>
      </w:r>
      <w:r>
        <w:t xml:space="preserve"> </w:t>
      </w:r>
      <w:r>
        <w:t xml:space="preserve">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 После этого строились итоговые графики,</w:t>
      </w:r>
      <w:r>
        <w:t xml:space="preserve"> </w:t>
      </w:r>
      <w:r>
        <w:t xml:space="preserve">анимация и производные материалы для последующего документирования.</w:t>
      </w:r>
    </w:p>
    <w:p>
      <w:pPr>
        <w:pStyle w:val="BodyText"/>
      </w:pPr>
      <w:r>
        <w:t xml:space="preserve">Такая последовательность позволила сначала проверить корректность общей</w:t>
      </w:r>
      <w:r>
        <w:t xml:space="preserve"> </w:t>
      </w:r>
      <w:r>
        <w:t xml:space="preserve">картины поведения модели, а затем перейти к анализу чувствительности.</w:t>
      </w:r>
    </w:p>
    <w:bookmarkEnd w:id="42"/>
    <w:bookmarkStart w:id="55" w:name="X8ce17d3a8f805bd8ef3b903e1445b1c91e37d16"/>
    <w:p>
      <w:pPr>
        <w:pStyle w:val="Heading2"/>
      </w:pPr>
      <w:r>
        <w:t xml:space="preserve">5.3 Базовое сравнение детерминированной и стохастической динамики</w:t>
      </w:r>
    </w:p>
    <w:p>
      <w:pPr>
        <w:pStyle w:val="FirstParagraph"/>
      </w:pPr>
      <w:r>
        <w:t xml:space="preserve">Базовый запуск реализован в файле</w:t>
      </w:r>
      <w:r>
        <w:t xml:space="preserve"> </w:t>
      </w:r>
      <w:r>
        <w:rPr>
          <w:rStyle w:val="VerbatimChar"/>
        </w:rPr>
        <w:t xml:space="preserve">scripts/sirpetri_run.jl</w:t>
      </w:r>
      <w:r>
        <w:t xml:space="preserve">. Для него</w:t>
      </w:r>
      <w:r>
        <w:t xml:space="preserve"> </w:t>
      </w:r>
      <w:r>
        <w:t xml:space="preserve">использовались параметры:</w:t>
      </w:r>
    </w:p>
    <w:p>
      <w:pPr>
        <w:pStyle w:val="Compact"/>
        <w:numPr>
          <w:ilvl w:val="0"/>
          <w:numId w:val="1005"/>
        </w:numPr>
      </w:pPr>
      <w:r>
        <w:t xml:space="preserve">коэффициент заражения</w:t>
      </w:r>
      <w:r>
        <w:t xml:space="preserve"> </w:t>
      </w:r>
      <w:r>
        <w:rPr>
          <w:rStyle w:val="VerbatimChar"/>
        </w:rPr>
        <w:t xml:space="preserve">β = 0.3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коэффициент выздоровления</w:t>
      </w:r>
      <w:r>
        <w:t xml:space="preserve"> </w:t>
      </w:r>
      <w:r>
        <w:rPr>
          <w:rStyle w:val="VerbatimChar"/>
        </w:rPr>
        <w:t xml:space="preserve">γ = 0.1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горизонт моделирования</w:t>
      </w:r>
      <w:r>
        <w:t xml:space="preserve"> </w:t>
      </w:r>
      <w:r>
        <w:rPr>
          <w:rStyle w:val="VerbatimChar"/>
        </w:rPr>
        <w:t xml:space="preserve">tmax = 100.0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начальная маркировка</w:t>
      </w:r>
      <w:r>
        <w:t xml:space="preserve"> </w:t>
      </w:r>
      <w:r>
        <w:rPr>
          <w:rStyle w:val="VerbatimChar"/>
        </w:rPr>
        <w:t xml:space="preserve">S₀ = 990</w:t>
      </w:r>
      <w:r>
        <w:t xml:space="preserve">,</w:t>
      </w:r>
      <w:r>
        <w:t xml:space="preserve"> </w:t>
      </w:r>
      <w:r>
        <w:rPr>
          <w:rStyle w:val="VerbatimChar"/>
        </w:rPr>
        <w:t xml:space="preserve">I₀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R₀ = 0</w:t>
      </w:r>
      <w:r>
        <w:t xml:space="preserve">.</w:t>
      </w:r>
    </w:p>
    <w:p>
      <w:pPr>
        <w:pStyle w:val="FirstParagraph"/>
      </w:pPr>
      <w:r>
        <w:t xml:space="preserve">В этом сценарии сразу строились две траектории:</w:t>
      </w:r>
    </w:p>
    <w:p>
      <w:pPr>
        <w:pStyle w:val="Compact"/>
        <w:numPr>
          <w:ilvl w:val="0"/>
          <w:numId w:val="1006"/>
        </w:numPr>
      </w:pPr>
      <w:r>
        <w:t xml:space="preserve">детерминированная</w:t>
      </w:r>
      <w:r>
        <w:t xml:space="preserve"> </w:t>
      </w:r>
      <w:r>
        <w:rPr>
          <w:rStyle w:val="VerbatimChar"/>
        </w:rPr>
        <w:t xml:space="preserve">ODE</w:t>
      </w:r>
      <w:r>
        <w:t xml:space="preserve">-аппроксимация;</w:t>
      </w:r>
    </w:p>
    <w:p>
      <w:pPr>
        <w:pStyle w:val="Compact"/>
        <w:numPr>
          <w:ilvl w:val="0"/>
          <w:numId w:val="1006"/>
        </w:numPr>
      </w:pPr>
      <w:r>
        <w:t xml:space="preserve">стохастическая реализация по алгоритму Гиллеспи.</w:t>
      </w:r>
    </w:p>
    <w:p>
      <w:pPr>
        <w:pStyle w:val="FirstParagraph"/>
      </w:pPr>
      <w:r>
        <w:t xml:space="preserve">Результаты сохранялись в файлы</w:t>
      </w:r>
      <w:r>
        <w:t xml:space="preserve"> </w:t>
      </w:r>
      <w:r>
        <w:rPr>
          <w:rStyle w:val="VerbatimChar"/>
        </w:rPr>
        <w:t xml:space="preserve">data/sir_det.csv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data/sir_stoch.csv</w:t>
      </w:r>
      <w:r>
        <w:t xml:space="preserve">,</w:t>
      </w:r>
      <w:r>
        <w:t xml:space="preserve"> </w:t>
      </w:r>
      <w:r>
        <w:t xml:space="preserve">после чего строились графики</w:t>
      </w:r>
      <w:r>
        <w:t xml:space="preserve"> </w:t>
      </w:r>
      <w:hyperlink w:anchor="fig-lab06-det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и</w:t>
      </w:r>
      <w:r>
        <w:t xml:space="preserve"> </w:t>
      </w:r>
      <w:hyperlink w:anchor="fig-lab06-stoch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lab06-det"/>
          <w:p>
            <w:pPr>
              <w:pStyle w:val="Compact"/>
              <w:jc w:val="center"/>
            </w:pPr>
            <w:r>
              <w:drawing>
                <wp:inline>
                  <wp:extent cx="4907280" cy="283531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det_dynamics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35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Детерминированная динамика модели SIR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lab06-stoch"/>
          <w:p>
            <w:pPr>
              <w:pStyle w:val="Compact"/>
              <w:jc w:val="center"/>
            </w:pPr>
            <w:r>
              <w:drawing>
                <wp:inline>
                  <wp:extent cx="4907280" cy="283531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stoch_dynamics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35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Стохастическая динамика модели SIR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lab06-base-screen"/>
          <w:p>
            <w:pPr>
              <w:pStyle w:val="Compact"/>
              <w:jc w:val="center"/>
            </w:pPr>
            <w:r>
              <w:drawing>
                <wp:inline>
                  <wp:extent cx="5334000" cy="65629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6_base_run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56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Терминальный вывод базового прогона модели с итоговыми характеристиками детерминированной и стохастической траекторий.</w:t>
            </w:r>
          </w:p>
          <w:bookmarkEnd w:id="54"/>
        </w:tc>
      </w:tr>
    </w:tbl>
    <w:p>
      <w:pPr>
        <w:pStyle w:val="BodyText"/>
      </w:pPr>
      <w:r>
        <w:t xml:space="preserve">Сравнение показало, что обе версии модели воспроизводят одну и ту же общую</w:t>
      </w:r>
      <w:r>
        <w:t xml:space="preserve"> </w:t>
      </w:r>
      <w:r>
        <w:t xml:space="preserve">логику развития эпидемии: рост числа инфицированных, достижение максимума и</w:t>
      </w:r>
      <w:r>
        <w:t xml:space="preserve"> </w:t>
      </w:r>
      <w:r>
        <w:t xml:space="preserve">последующий спад. При этом стохастическая траектория не совпадает с</w:t>
      </w:r>
      <w:r>
        <w:t xml:space="preserve"> </w:t>
      </w:r>
      <w:r>
        <w:t xml:space="preserve">детерминированной точка в точку, а демонстрирует естественные флуктуации,</w:t>
      </w:r>
      <w:r>
        <w:t xml:space="preserve"> </w:t>
      </w:r>
      <w:r>
        <w:t xml:space="preserve">особенно заметные вблизи пика. Терминальный вывод на</w:t>
      </w:r>
      <w:r>
        <w:t xml:space="preserve"> </w:t>
      </w:r>
      <w:hyperlink w:anchor="fig-lab06-base-screen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дополнительно фиксирует численные значения</w:t>
      </w:r>
      <w:r>
        <w:t xml:space="preserve"> </w:t>
      </w:r>
      <w:r>
        <w:t xml:space="preserve">пика инфекции и итогового числа выздоровевших для двух режимов симуляции.</w:t>
      </w:r>
    </w:p>
    <w:bookmarkEnd w:id="55"/>
    <w:bookmarkStart w:id="64" w:name="Xa66311b4e5fadd32a8ec9ba35de912ffd21dcf8"/>
    <w:p>
      <w:pPr>
        <w:pStyle w:val="Heading2"/>
      </w:pPr>
      <w:r>
        <w:t xml:space="preserve">5.4 Чувствительность модели к коэффициенту заражения</w:t>
      </w:r>
    </w:p>
    <w:p>
      <w:pPr>
        <w:pStyle w:val="FirstParagraph"/>
      </w:pPr>
      <w:r>
        <w:t xml:space="preserve">Во второй части исследования использовался сценарий</w:t>
      </w:r>
      <w:r>
        <w:t xml:space="preserve"> </w:t>
      </w:r>
      <w:r>
        <w:rPr>
          <w:rStyle w:val="VerbatimChar"/>
        </w:rPr>
        <w:t xml:space="preserve">scripts/sirpetri_scan_parameters.jl</w:t>
      </w:r>
      <w:r>
        <w:t xml:space="preserve">, в котором параметр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изменялся в</w:t>
      </w:r>
      <w:r>
        <w:t xml:space="preserve"> </w:t>
      </w:r>
      <w:r>
        <w:t xml:space="preserve">диапазоне от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0.05</w:t>
      </w:r>
      <w:r>
        <w:t xml:space="preserve">, тогда как</w:t>
      </w:r>
      <w:r>
        <w:t xml:space="preserve"> </w:t>
      </w:r>
      <w:r>
        <w:rPr>
          <w:rStyle w:val="VerbatimChar"/>
        </w:rPr>
        <w:t xml:space="preserve">γ = 0.1</w:t>
      </w:r>
      <w:r>
        <w:t xml:space="preserve"> </w:t>
      </w:r>
      <w:r>
        <w:t xml:space="preserve">оставался</w:t>
      </w:r>
      <w:r>
        <w:t xml:space="preserve"> </w:t>
      </w:r>
      <w:r>
        <w:t xml:space="preserve">фиксированным.</w:t>
      </w:r>
    </w:p>
    <w:p>
      <w:pPr>
        <w:pStyle w:val="BodyText"/>
      </w:pPr>
      <w:r>
        <w:t xml:space="preserve">Для каждого запуска вычислялись:</w:t>
      </w:r>
    </w:p>
    <w:p>
      <w:pPr>
        <w:pStyle w:val="Compact"/>
        <w:numPr>
          <w:ilvl w:val="0"/>
          <w:numId w:val="1007"/>
        </w:numPr>
      </w:pPr>
      <w:r>
        <w:t xml:space="preserve">пик числа инфицированных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конечное число выздоровевших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.</w:t>
      </w:r>
    </w:p>
    <w:p>
      <w:pPr>
        <w:pStyle w:val="FirstParagraph"/>
      </w:pPr>
      <w:r>
        <w:t xml:space="preserve">Результаты сохранялись в</w:t>
      </w:r>
      <w:r>
        <w:t xml:space="preserve"> </w:t>
      </w:r>
      <w:r>
        <w:rPr>
          <w:rStyle w:val="VerbatimChar"/>
        </w:rPr>
        <w:t xml:space="preserve">data/sir_scan.csv</w:t>
      </w:r>
      <w:r>
        <w:t xml:space="preserve">, а графическое сравнение</w:t>
      </w:r>
      <w:r>
        <w:t xml:space="preserve"> </w:t>
      </w:r>
      <w:r>
        <w:t xml:space="preserve">строилось в</w:t>
      </w:r>
      <w:r>
        <w:t xml:space="preserve"> </w:t>
      </w:r>
      <w:r>
        <w:rPr>
          <w:rStyle w:val="VerbatimChar"/>
        </w:rPr>
        <w:t xml:space="preserve">plots/sir_scan.png</w:t>
      </w:r>
      <w:r>
        <w:t xml:space="preserve"> </w:t>
      </w:r>
      <w:r>
        <w:t xml:space="preserve">(</w:t>
      </w:r>
      <w:hyperlink w:anchor="fig-lab06-scan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lab06-scan"/>
          <w:p>
            <w:pPr>
              <w:pStyle w:val="Compact"/>
              <w:jc w:val="center"/>
            </w:pPr>
            <w:r>
              <w:drawing>
                <wp:inline>
                  <wp:extent cx="4907280" cy="283531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ir_scan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35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Зависимость пика эпидемии и конечного числа выздоровевших от коэффициента заражения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lab06-scan-screen"/>
          <w:p>
            <w:pPr>
              <w:pStyle w:val="Compact"/>
              <w:jc w:val="center"/>
            </w:pPr>
            <w:r>
              <w:drawing>
                <wp:inline>
                  <wp:extent cx="5334000" cy="162465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07_beta_scan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2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Терминальный вывод параметрического исследования для набора значений коэффициента заражения</w:t>
            </w:r>
            <w:r>
              <w:t xml:space="preserve"> </w:t>
            </w:r>
            <w:r>
              <w:rPr>
                <w:rStyle w:val="VerbatimChar"/>
              </w:rPr>
              <w:t xml:space="preserve">β</w:t>
            </w:r>
            <w:r>
              <w:t xml:space="preserve">.</w:t>
            </w:r>
          </w:p>
          <w:bookmarkEnd w:id="63"/>
        </w:tc>
      </w:tr>
    </w:tbl>
    <w:p>
      <w:pPr>
        <w:pStyle w:val="BodyText"/>
      </w:pPr>
      <w:r>
        <w:t xml:space="preserve">Полученная зависимость показывает, что коэффициент заражения является</w:t>
      </w:r>
      <w:r>
        <w:t xml:space="preserve"> </w:t>
      </w:r>
      <w:r>
        <w:t xml:space="preserve">основным рычагом управления формой эпидемической волны. При малых значениях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вспышка остаётся сравнительно слабой, а с ростом заразности максимум</w:t>
      </w:r>
      <w:r>
        <w:t xml:space="preserve"> </w:t>
      </w:r>
      <w:r>
        <w:t xml:space="preserve">числа инфицированных быстро увеличивается. Конечное число выздоровевших тоже</w:t>
      </w:r>
      <w:r>
        <w:t xml:space="preserve"> </w:t>
      </w:r>
      <w:r>
        <w:t xml:space="preserve">возрастает и при больших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выходит на насыщение, что соответствует</w:t>
      </w:r>
      <w:r>
        <w:t xml:space="preserve"> </w:t>
      </w:r>
      <w:r>
        <w:t xml:space="preserve">прохождению почти всей популяции через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. Табличная сводка на</w:t>
      </w:r>
      <w:r>
        <w:t xml:space="preserve"> </w:t>
      </w:r>
      <w:hyperlink w:anchor="fig-lab06-scan-screen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показывает те же результаты в виде набора</w:t>
      </w:r>
      <w:r>
        <w:t xml:space="preserve"> </w:t>
      </w:r>
      <w:r>
        <w:t xml:space="preserve">численных оценок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 </w:t>
      </w:r>
      <w:r>
        <w:t xml:space="preserve">для всего диапазона исследованных</w:t>
      </w:r>
      <w:r>
        <w:t xml:space="preserve"> </w:t>
      </w:r>
      <w:r>
        <w:t xml:space="preserve">значений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bookmarkEnd w:id="64"/>
    <w:bookmarkStart w:id="77" w:name="Xf347a95d656272922df438dd4ff866bd6506de3"/>
    <w:p>
      <w:pPr>
        <w:pStyle w:val="Heading2"/>
      </w:pPr>
      <w:r>
        <w:t xml:space="preserve">5.5 Визуальные материалы и итоговая интерпретация</w:t>
      </w:r>
    </w:p>
    <w:p>
      <w:pPr>
        <w:pStyle w:val="FirstParagraph"/>
      </w:pPr>
      <w:r>
        <w:t xml:space="preserve">Для дополнительной наглядности был выполнен сценарий</w:t>
      </w:r>
      <w:r>
        <w:t xml:space="preserve"> </w:t>
      </w:r>
      <w:r>
        <w:rPr>
          <w:rStyle w:val="VerbatimChar"/>
        </w:rPr>
        <w:t xml:space="preserve">scripts/sirpetri_animate.jl</w:t>
      </w:r>
      <w:r>
        <w:t xml:space="preserve">, формирующий файл</w:t>
      </w:r>
      <w:r>
        <w:t xml:space="preserve"> </w:t>
      </w:r>
      <w:r>
        <w:rPr>
          <w:rStyle w:val="VerbatimChar"/>
        </w:rPr>
        <w:t xml:space="preserve">plots/sir_animation.gif</w:t>
      </w:r>
      <w:r>
        <w:t xml:space="preserve">.</w:t>
      </w:r>
      <w:r>
        <w:t xml:space="preserve"> </w:t>
      </w:r>
      <w:r>
        <w:t xml:space="preserve">Анимация не заменяет количественный анализ, но хорошо показывает, как</w:t>
      </w:r>
      <w:r>
        <w:t xml:space="preserve"> </w:t>
      </w:r>
      <w:r>
        <w:t xml:space="preserve">эпидемическая волна последовательно перераспределяет население между</w:t>
      </w:r>
      <w:r>
        <w:t xml:space="preserve"> </w:t>
      </w:r>
      <w:r>
        <w:t xml:space="preserve">состояниями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BodyText"/>
      </w:pPr>
      <w:r>
        <w:t xml:space="preserve">После завершения основных расчётов был выполнен сценарий</w:t>
      </w:r>
      <w:r>
        <w:t xml:space="preserve"> </w:t>
      </w:r>
      <w:r>
        <w:rPr>
          <w:rStyle w:val="VerbatimChar"/>
        </w:rPr>
        <w:t xml:space="preserve">scripts/sirpetri_report.jl</w:t>
      </w:r>
      <w:r>
        <w:t xml:space="preserve">. Он строил два итоговых графика:</w:t>
      </w:r>
    </w:p>
    <w:p>
      <w:pPr>
        <w:pStyle w:val="Compact"/>
        <w:numPr>
          <w:ilvl w:val="0"/>
          <w:numId w:val="1008"/>
        </w:numPr>
      </w:pPr>
      <w:r>
        <w:t xml:space="preserve">сравнение детерминированной и стохастической динамики</w:t>
      </w:r>
      <w:r>
        <w:t xml:space="preserve"> </w:t>
      </w:r>
      <w:r>
        <w:rPr>
          <w:rStyle w:val="VerbatimChar"/>
        </w:rPr>
        <w:t xml:space="preserve">I(t)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зависимость пика инфицированных от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FirstParagraph"/>
      </w:pPr>
      <w:r>
        <w:t xml:space="preserve">Полученные результаты представлены на</w:t>
      </w:r>
      <w:r>
        <w:t xml:space="preserve"> </w:t>
      </w:r>
      <w:hyperlink w:anchor="fig-lab06-comparison">
        <w:r>
          <w:rPr>
            <w:rStyle w:val="Hyperlink"/>
          </w:rPr>
          <w:t xml:space="preserve">рис. 10</w:t>
        </w:r>
      </w:hyperlink>
      <w:r>
        <w:t xml:space="preserve"> </w:t>
      </w:r>
      <w:r>
        <w:t xml:space="preserve">и</w:t>
      </w:r>
      <w:r>
        <w:t xml:space="preserve"> </w:t>
      </w:r>
      <w:hyperlink w:anchor="fig-lab06-sensitivity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lab06-comparison"/>
          <w:p>
            <w:pPr>
              <w:pStyle w:val="Compact"/>
              <w:jc w:val="center"/>
            </w:pPr>
            <w:r>
              <w:drawing>
                <wp:inline>
                  <wp:extent cx="4907280" cy="283531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./project/plots/comparison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35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Сравнение детерминированной и стохастической динамики инфицированных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lab06-sensitivity"/>
          <w:p>
            <w:pPr>
              <w:pStyle w:val="Compact"/>
              <w:jc w:val="center"/>
            </w:pPr>
            <w:r>
              <w:drawing>
                <wp:inline>
                  <wp:extent cx="4907280" cy="283531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./project/plots/sensitivity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835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Чувствительность пика инфицированных к изменению коэффициента заражения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lab06-visual-screen"/>
          <w:p>
            <w:pPr>
              <w:pStyle w:val="Compact"/>
              <w:jc w:val="center"/>
            </w:pPr>
            <w:r>
              <w:drawing>
                <wp:inline>
                  <wp:extent cx="5334000" cy="81715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08_visual_outputs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17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Терминальный вывод сценариев</w:t>
            </w:r>
            <w:r>
              <w:t xml:space="preserve"> </w:t>
            </w:r>
            <w:r>
              <w:rPr>
                <w:rStyle w:val="VerbatimChar"/>
              </w:rPr>
              <w:t xml:space="preserve">sirpetri_animate.jl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sirpetri_report.jl</w:t>
            </w:r>
            <w:r>
              <w:t xml:space="preserve">, подтверждающий сохранение анимации и итоговых графиков.</w:t>
            </w:r>
          </w:p>
          <w:bookmarkEnd w:id="76"/>
        </w:tc>
      </w:tr>
    </w:tbl>
    <w:p>
      <w:pPr>
        <w:pStyle w:val="BodyText"/>
      </w:pPr>
      <w:r>
        <w:t xml:space="preserve">Эти визуализации позволяют уже не просто перечислить результаты отдельных</w:t>
      </w:r>
      <w:r>
        <w:t xml:space="preserve"> </w:t>
      </w:r>
      <w:r>
        <w:t xml:space="preserve">скриптов, а собрать их в единую интерпретацию: модель корректно воспроизводит</w:t>
      </w:r>
      <w:r>
        <w:t xml:space="preserve"> </w:t>
      </w:r>
      <w:r>
        <w:t xml:space="preserve">структуру эпидемической волны, а изменение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заметно перестраивает её</w:t>
      </w:r>
      <w:r>
        <w:t xml:space="preserve"> </w:t>
      </w:r>
      <w:r>
        <w:t xml:space="preserve">масштаб и интенсивность. Дополнительно терминальный фрагмент на</w:t>
      </w:r>
      <w:r>
        <w:t xml:space="preserve"> </w:t>
      </w:r>
      <w:hyperlink w:anchor="fig-lab06-visual-screen">
        <w:r>
          <w:rPr>
            <w:rStyle w:val="Hyperlink"/>
          </w:rPr>
          <w:t xml:space="preserve">рис. 12</w:t>
        </w:r>
      </w:hyperlink>
      <w:r>
        <w:t xml:space="preserve"> </w:t>
      </w:r>
      <w:r>
        <w:t xml:space="preserve">фиксирует успешное сохранение анимации и</w:t>
      </w:r>
      <w:r>
        <w:t xml:space="preserve"> </w:t>
      </w:r>
      <w:r>
        <w:t xml:space="preserve">итоговых графических материалов проекта.</w:t>
      </w:r>
    </w:p>
    <w:bookmarkEnd w:id="77"/>
    <w:bookmarkStart w:id="82" w:name="воспроизводимость-и-производные-форматы"/>
    <w:p>
      <w:pPr>
        <w:pStyle w:val="Heading2"/>
      </w:pPr>
      <w:r>
        <w:t xml:space="preserve">5.6 Воспроизводимость и производные форматы</w:t>
      </w:r>
    </w:p>
    <w:p>
      <w:pPr>
        <w:pStyle w:val="FirstParagraph"/>
      </w:pPr>
      <w:r>
        <w:t xml:space="preserve">Для генерации производных материалов использовался сценарий</w:t>
      </w:r>
      <w:r>
        <w:t xml:space="preserve"> </w:t>
      </w:r>
      <w:r>
        <w:rPr>
          <w:rStyle w:val="VerbatimChar"/>
        </w:rPr>
        <w:t xml:space="preserve">scripts/generate_all.jl</w:t>
      </w:r>
      <w:r>
        <w:t xml:space="preserve">. На его основе автоматически формировались:</w:t>
      </w:r>
    </w:p>
    <w:p>
      <w:pPr>
        <w:pStyle w:val="Compact"/>
        <w:numPr>
          <w:ilvl w:val="0"/>
          <w:numId w:val="1009"/>
        </w:numPr>
      </w:pPr>
      <w:r>
        <w:t xml:space="preserve">чистые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-файлы;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Quarto</w:t>
      </w:r>
      <w:r>
        <w:t xml:space="preserve">-документы;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Jupyter notebook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lab06-literate-screen"/>
          <w:p>
            <w:pPr>
              <w:pStyle w:val="Compact"/>
              <w:jc w:val="center"/>
            </w:pPr>
            <w:r>
              <w:drawing>
                <wp:inline>
                  <wp:extent cx="5334000" cy="208148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05_literate_generation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81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Терминальный вывод генерации производных форматов</w:t>
            </w:r>
            <w:r>
              <w:t xml:space="preserve"> </w:t>
            </w:r>
            <w:r>
              <w:rPr>
                <w:rStyle w:val="VerbatimChar"/>
              </w:rPr>
              <w:t xml:space="preserve">clean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qmd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ipynb</w:t>
            </w:r>
            <w:r>
              <w:t xml:space="preserve"> </w:t>
            </w:r>
            <w:r>
              <w:t xml:space="preserve">из literate-скриптов.</w:t>
            </w:r>
          </w:p>
          <w:bookmarkEnd w:id="81"/>
        </w:tc>
      </w:tr>
    </w:tbl>
    <w:p>
      <w:pPr>
        <w:pStyle w:val="BodyText"/>
      </w:pPr>
      <w:r>
        <w:t xml:space="preserve">По завершении лабораторной работы были сформированы: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scripts/clean/sirpetri_run.jl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scripts/clean/sirpetri_scan_parameters.jl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markdown/sirpetri_run.qmd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markdown/sirpetri_scan_parameters.qmd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notebooks/sirpetri_run.ipynb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notebooks/sirpetri_scan_parameters.ipynb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таблицы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графики</w:t>
      </w:r>
      <w:r>
        <w:t xml:space="preserve"> </w:t>
      </w:r>
      <w:r>
        <w:rPr>
          <w:rStyle w:val="VerbatimChar"/>
        </w:rPr>
        <w:t xml:space="preserve">sir_det_dynamics.png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sir_stoch_dynamics.png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sir_scan.png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sensitivity.png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анимация</w:t>
      </w:r>
      <w:r>
        <w:t xml:space="preserve"> </w:t>
      </w:r>
      <w:r>
        <w:rPr>
          <w:rStyle w:val="VerbatimChar"/>
        </w:rPr>
        <w:t xml:space="preserve">sir_animation.gif</w:t>
      </w:r>
      <w:r>
        <w:t xml:space="preserve">.</w:t>
      </w:r>
    </w:p>
    <w:p>
      <w:pPr>
        <w:pStyle w:val="FirstParagraph"/>
      </w:pPr>
      <w:r>
        <w:t xml:space="preserve">Отдельно были выполнены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, сгенерированные из</w:t>
      </w:r>
      <w:r>
        <w:t xml:space="preserve"> </w:t>
      </w:r>
      <w:r>
        <w:t xml:space="preserve">literate-скриптов, что подтвердило воспроизводимость результатов не только</w:t>
      </w:r>
      <w:r>
        <w:t xml:space="preserve"> </w:t>
      </w:r>
      <w:r>
        <w:t xml:space="preserve">в виде отдельных</w:t>
      </w:r>
      <w:r>
        <w:t xml:space="preserve"> </w:t>
      </w:r>
      <w:r>
        <w:rPr>
          <w:rStyle w:val="VerbatimChar"/>
        </w:rPr>
        <w:t xml:space="preserve">.jl</w:t>
      </w:r>
      <w:r>
        <w:t xml:space="preserve">-файлов, но и в notebook-формате. Скриншот на</w:t>
      </w:r>
      <w:r>
        <w:t xml:space="preserve"> </w:t>
      </w:r>
      <w:hyperlink w:anchor="fig-lab06-literate-screen">
        <w:r>
          <w:rPr>
            <w:rStyle w:val="Hyperlink"/>
          </w:rPr>
          <w:t xml:space="preserve">рис. 13</w:t>
        </w:r>
      </w:hyperlink>
      <w:r>
        <w:t xml:space="preserve"> </w:t>
      </w:r>
      <w:r>
        <w:t xml:space="preserve">показывает сам процесс генерации всех</w:t>
      </w:r>
      <w:r>
        <w:t xml:space="preserve"> </w:t>
      </w:r>
      <w:r>
        <w:t xml:space="preserve">основных производных форматов из исходных literate-материалов. В итоге</w:t>
      </w:r>
      <w:r>
        <w:t xml:space="preserve"> </w:t>
      </w:r>
      <w:r>
        <w:t xml:space="preserve">работа оформлена как единый вычислительный проект, в котором код,</w:t>
      </w:r>
      <w:r>
        <w:t xml:space="preserve"> </w:t>
      </w:r>
      <w:r>
        <w:t xml:space="preserve">результаты, визуализация и документация остаются согласованными между</w:t>
      </w:r>
      <w:r>
        <w:t xml:space="preserve"> </w:t>
      </w:r>
      <w:r>
        <w:t xml:space="preserve">собой.</w:t>
      </w:r>
    </w:p>
    <w:bookmarkEnd w:id="82"/>
    <w:bookmarkEnd w:id="83"/>
    <w:bookmarkStart w:id="84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была реализована модель</w:t>
      </w:r>
      <w:r>
        <w:t xml:space="preserve"> </w:t>
      </w:r>
      <w:r>
        <w:rPr>
          <w:rStyle w:val="VerbatimChar"/>
        </w:rPr>
        <w:t xml:space="preserve">SIR</w:t>
      </w:r>
      <w:r>
        <w:t xml:space="preserve"> </w:t>
      </w:r>
      <w:r>
        <w:t xml:space="preserve">в подходе сетей</w:t>
      </w:r>
      <w:r>
        <w:t xml:space="preserve"> </w:t>
      </w:r>
      <w:r>
        <w:t xml:space="preserve">Петри и подготовлен воспроизводимый вычислительный проект, объединяющий код</w:t>
      </w:r>
      <w:r>
        <w:t xml:space="preserve"> </w:t>
      </w:r>
      <w:r>
        <w:t xml:space="preserve">модели, сценарии запуска, графические результаты и документацию. Такой</w:t>
      </w:r>
      <w:r>
        <w:t xml:space="preserve"> </w:t>
      </w:r>
      <w:r>
        <w:t xml:space="preserve">формат работы позволил рассматривать лабораторную не как единичный запуск</w:t>
      </w:r>
      <w:r>
        <w:t xml:space="preserve"> </w:t>
      </w:r>
      <w:r>
        <w:t xml:space="preserve">отдельного скрипта, а как целостный вычислительный эксперимент.</w:t>
      </w:r>
    </w:p>
    <w:p>
      <w:pPr>
        <w:pStyle w:val="BodyText"/>
      </w:pPr>
      <w:r>
        <w:t xml:space="preserve">Базовый сценарий показал, что детерминированная и стохастическая версии</w:t>
      </w:r>
      <w:r>
        <w:t xml:space="preserve"> </w:t>
      </w:r>
      <w:r>
        <w:t xml:space="preserve">модели качественно согласуются между собой: в обоих случаях наблюдаются рост</w:t>
      </w:r>
      <w:r>
        <w:t xml:space="preserve"> </w:t>
      </w:r>
      <w:r>
        <w:t xml:space="preserve">инфекции, достижение максимума и последующий спад эпидемической волны. При</w:t>
      </w:r>
      <w:r>
        <w:t xml:space="preserve"> </w:t>
      </w:r>
      <w:r>
        <w:t xml:space="preserve">этом стохастическая траектория, в отличие от сглаженной детерминированной,</w:t>
      </w:r>
      <w:r>
        <w:t xml:space="preserve"> </w:t>
      </w:r>
      <w:r>
        <w:t xml:space="preserve">отражает влияние случайных флуктуаций на развитие процесса.</w:t>
      </w:r>
    </w:p>
    <w:p>
      <w:pPr>
        <w:pStyle w:val="BodyText"/>
      </w:pPr>
      <w:r>
        <w:t xml:space="preserve">Параметрическое исследование коэффициента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подтвердило, что</w:t>
      </w:r>
      <w:r>
        <w:t xml:space="preserve"> </w:t>
      </w:r>
      <w:r>
        <w:t xml:space="preserve">именно этот параметр существенно влияет на форму эпидемической волны. При</w:t>
      </w:r>
      <w:r>
        <w:t xml:space="preserve"> </w:t>
      </w:r>
      <w:r>
        <w:t xml:space="preserve">малых значениях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вспышка развивается слабо, тогда как при увеличении</w:t>
      </w:r>
      <w:r>
        <w:t xml:space="preserve"> </w:t>
      </w:r>
      <w:r>
        <w:t xml:space="preserve">заразности быстро возрастают как пик числа инфицированных, так и итоговая</w:t>
      </w:r>
      <w:r>
        <w:t xml:space="preserve"> </w:t>
      </w:r>
      <w:r>
        <w:t xml:space="preserve">доля переболевших. Это указывает на выраженную чувствительность модели к</w:t>
      </w:r>
      <w:r>
        <w:t xml:space="preserve"> </w:t>
      </w:r>
      <w:r>
        <w:t xml:space="preserve">изменению интенсивности заражения.</w:t>
      </w:r>
    </w:p>
    <w:p>
      <w:pPr>
        <w:pStyle w:val="BodyText"/>
      </w:pPr>
      <w:r>
        <w:t xml:space="preserve">Дополнительно в ходе работы были автоматически сформированы производные</w:t>
      </w:r>
      <w:r>
        <w:t xml:space="preserve"> </w:t>
      </w:r>
      <w:r>
        <w:t xml:space="preserve">материалы: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-скрипты,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-документы,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,</w:t>
      </w:r>
      <w:r>
        <w:t xml:space="preserve"> </w:t>
      </w:r>
      <w:r>
        <w:t xml:space="preserve">итоговые графики и анимация. В результате лабораторная работа оформлена в</w:t>
      </w:r>
      <w:r>
        <w:t xml:space="preserve"> </w:t>
      </w:r>
      <w:r>
        <w:t xml:space="preserve">виде набора согласованных и воспроизводимых артефактов, удобных для</w:t>
      </w:r>
      <w:r>
        <w:t xml:space="preserve"> </w:t>
      </w:r>
      <w:r>
        <w:t xml:space="preserve">последующего анализа, проверки и защиты.</w:t>
      </w:r>
    </w:p>
    <w:bookmarkEnd w:id="84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Start w:id="86" w:name="ref-kermack1927contributio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85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of London. Series A. 1927. Т. 115, № 772. С. 700–721.</w:t>
      </w:r>
    </w:p>
    <w:bookmarkEnd w:id="86"/>
    <w:bookmarkStart w:id="88" w:name="ref-murata1989petri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Murata T.</w:t>
      </w:r>
      <w:r>
        <w:t xml:space="preserve"> </w:t>
      </w:r>
      <w:hyperlink r:id="rId87">
        <w:r>
          <w:rPr>
            <w:rStyle w:val="Hyperlink"/>
          </w:rPr>
          <w:t xml:space="preserve">Petri Nets: Properties, Analysis and Applications</w:t>
        </w:r>
      </w:hyperlink>
      <w:r>
        <w:t xml:space="preserve"> </w:t>
      </w:r>
      <w:r>
        <w:t xml:space="preserve">// Proceedings of the IEEE. 1989. Т. 77, № 4. С. 541–580.</w:t>
      </w:r>
    </w:p>
    <w:bookmarkEnd w:id="88"/>
    <w:bookmarkStart w:id="89" w:name="ref-korolkova2026simulatio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Российский университет дружбы народов, 2026.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43" Target="media/rId43.png" /><Relationship Type="http://schemas.openxmlformats.org/officeDocument/2006/relationships/image" Id="rId56" Target="media/rId56.png" /><Relationship Type="http://schemas.openxmlformats.org/officeDocument/2006/relationships/image" Id="rId47" Target="media/rId4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78" Target="media/rId78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73" Target="media/rId73.png" /><Relationship Type="http://schemas.openxmlformats.org/officeDocument/2006/relationships/hyperlink" Id="rId85" Target="https://doi.org/10.1098/rspa.1927.0118" TargetMode="External" /><Relationship Type="http://schemas.openxmlformats.org/officeDocument/2006/relationships/hyperlink" Id="rId87" Target="https://doi.org/10.1109/5.241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doi.org/10.1098/rspa.1927.0118" TargetMode="External" /><Relationship Type="http://schemas.openxmlformats.org/officeDocument/2006/relationships/hyperlink" Id="rId87" Target="https://doi.org/10.1109/5.241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Курилко-Рюмин Евгений Михайлович</dc:creator>
  <dc:language>ru-RU</dc:language>
  <cp:keywords/>
  <dcterms:created xsi:type="dcterms:W3CDTF">2026-05-02T17:02:10Z</dcterms:created>
  <dcterms:modified xsi:type="dcterms:W3CDTF">2026-05-02T17:02:10Z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модели SIR в подходе сетей Петри</vt:lpwstr>
  </property>
  <property fmtid="{D5CDD505-2E9C-101B-9397-08002B2CF9AE}" pid="16" name="toc-title">
    <vt:lpwstr>Содержание</vt:lpwstr>
  </property>
</Properties>
</file>