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twende-platform-blueprint"/>
    <w:p>
      <w:pPr>
        <w:pStyle w:val="1"/>
      </w:pPr>
      <w:r>
        <w:t xml:space="preserve">TWENDE PLATFORM BLUEPRINT</w:t>
      </w:r>
    </w:p>
    <w:bookmarkStart w:id="20" w:name="X236597c30b780e73f842ce0beb43e556c67c618"/>
    <w:p>
      <w:pPr>
        <w:pStyle w:val="2"/>
      </w:pPr>
      <w:r>
        <w:t xml:space="preserve">Foundational Digital Trust Infrastructure for Africa’s Informal Economy</w:t>
      </w:r>
    </w:p>
    <w:p>
      <w:pPr>
        <w:pStyle w:val="FirstParagraph"/>
      </w:pPr>
      <w:r>
        <w:rPr>
          <w:b/>
          <w:bCs/>
        </w:rPr>
        <w:t xml:space="preserve">Version 1.0 | July 2026</w:t>
      </w:r>
    </w:p>
    <w:p>
      <w:pPr>
        <w:pStyle w:val="a0"/>
      </w:pPr>
      <w:r>
        <w:rPr>
          <w:b/>
          <w:bCs/>
        </w:rPr>
        <w:t xml:space="preserve">Prepared by:</w:t>
      </w:r>
      <w:r>
        <w:t xml:space="preserve"> </w:t>
      </w:r>
      <w:r>
        <w:t xml:space="preserve">Eddy Mkwambe, Founder &amp; Chief Architect</w:t>
      </w:r>
      <w:r>
        <w:br/>
      </w:r>
      <w:r>
        <w:rPr>
          <w:b/>
          <w:bCs/>
        </w:rPr>
        <w:t xml:space="preserve">Organization:</w:t>
      </w:r>
      <w:r>
        <w:t xml:space="preserve"> </w:t>
      </w:r>
      <w:r>
        <w:t xml:space="preserve">Mpingo Systems LLC, Charlotte, North Carolina, USA</w:t>
      </w:r>
      <w:r>
        <w:br/>
      </w:r>
      <w:r>
        <w:rPr>
          <w:b/>
          <w:bCs/>
        </w:rPr>
        <w:t xml:space="preserve">Primary Market:</w:t>
      </w:r>
      <w:r>
        <w:t xml:space="preserve"> </w:t>
      </w:r>
      <w:r>
        <w:t xml:space="preserve">United Republic of Tanzania, East Africa</w:t>
      </w:r>
      <w:r>
        <w:br/>
      </w:r>
      <w:r>
        <w:rPr>
          <w:b/>
          <w:bCs/>
        </w:rPr>
        <w:t xml:space="preserve">Expansion Markets:</w:t>
      </w:r>
      <w:r>
        <w:t xml:space="preserve"> </w:t>
      </w:r>
      <w:r>
        <w:t xml:space="preserve">Republic of Kenya, Republic of Uganda, Republic of Rwanda</w:t>
      </w:r>
    </w:p>
    <w:p>
      <w:pPr>
        <w:pStyle w:val="a0"/>
      </w:pPr>
      <w:r>
        <w:rPr>
          <w:b/>
          <w:bCs/>
        </w:rPr>
        <w:t xml:space="preserve">Credentials:</w:t>
      </w:r>
      <w:r>
        <w:t xml:space="preserve"> </w:t>
      </w:r>
      <w:r>
        <w:t xml:space="preserve">MS Strategic Analytics, Brandeis University; MS Mathematical Modeling, University of Dar es Salaam; 12+ years mathematics education, curriculum development, and data science instruction across US charter schools and higher education institutions.</w:t>
      </w:r>
    </w:p>
    <w:p>
      <w:r>
        <w:pict>
          <v:rect style="width:0;height:1.5pt" o:hralign="center" o:hrstd="t" o:hr="t"/>
        </w:pict>
      </w:r>
    </w:p>
    <w:bookmarkEnd w:id="20"/>
    <w:bookmarkStart w:id="21" w:name="table-of-contents"/>
    <w:p>
      <w:pPr>
        <w:pStyle w:val="2"/>
      </w:pPr>
      <w:r>
        <w:t xml:space="preserve">TABLE OF CONTENTS</w:t>
      </w:r>
    </w:p>
    <w:p>
      <w:pPr>
        <w:pStyle w:val="Compact"/>
        <w:numPr>
          <w:ilvl w:val="0"/>
          <w:numId w:val="1001"/>
        </w:numPr>
      </w:pPr>
      <w:hyperlink w:anchor="X102b2e9de4183984340b81b0bb402a984d3925a">
        <w:r>
          <w:rPr>
            <w:rStyle w:val="af"/>
          </w:rPr>
          <w:t xml:space="preserve">Executive Summary</w:t>
        </w:r>
      </w:hyperlink>
    </w:p>
    <w:p>
      <w:pPr>
        <w:pStyle w:val="Compact"/>
        <w:numPr>
          <w:ilvl w:val="0"/>
          <w:numId w:val="1001"/>
        </w:numPr>
      </w:pPr>
      <w:hyperlink w:anchor="Xed29a8dfd0851d740692b3ab2a546f588b08381">
        <w:r>
          <w:rPr>
            <w:rStyle w:val="af"/>
          </w:rPr>
          <w:t xml:space="preserve">The Problem: Africa’s Informal Economy Gap</w:t>
        </w:r>
      </w:hyperlink>
    </w:p>
    <w:p>
      <w:pPr>
        <w:pStyle w:val="Compact"/>
        <w:numPr>
          <w:ilvl w:val="0"/>
          <w:numId w:val="1001"/>
        </w:numPr>
      </w:pPr>
      <w:hyperlink w:anchor="X3ba8b00cde1aae0d109a667db685ba199ba7516">
        <w:r>
          <w:rPr>
            <w:rStyle w:val="af"/>
          </w:rPr>
          <w:t xml:space="preserve">The TWENDE Platform Architecture</w:t>
        </w:r>
      </w:hyperlink>
    </w:p>
    <w:p>
      <w:pPr>
        <w:pStyle w:val="Compact"/>
        <w:numPr>
          <w:ilvl w:val="0"/>
          <w:numId w:val="1001"/>
        </w:numPr>
      </w:pPr>
      <w:hyperlink w:anchor="X09d9678e588f62793eb9b5706508eadb3062f11">
        <w:r>
          <w:rPr>
            <w:rStyle w:val="af"/>
          </w:rPr>
          <w:t xml:space="preserve">The Trust Engine: Technical Specification</w:t>
        </w:r>
      </w:hyperlink>
    </w:p>
    <w:p>
      <w:pPr>
        <w:pStyle w:val="Compact"/>
        <w:numPr>
          <w:ilvl w:val="0"/>
          <w:numId w:val="1001"/>
        </w:numPr>
      </w:pPr>
      <w:hyperlink w:anchor="X16fe061618e9d1ad379b7b7c2c8b1c12ae392ce">
        <w:r>
          <w:rPr>
            <w:rStyle w:val="af"/>
          </w:rPr>
          <w:t xml:space="preserve">Product Pillar Deep Dives</w:t>
        </w:r>
      </w:hyperlink>
    </w:p>
    <w:p>
      <w:pPr>
        <w:pStyle w:val="Compact"/>
        <w:numPr>
          <w:ilvl w:val="0"/>
          <w:numId w:val="1001"/>
        </w:numPr>
      </w:pPr>
      <w:hyperlink w:anchor="X646431689159dbe484c7a69b818ac512d7cc86c">
        <w:r>
          <w:rPr>
            <w:rStyle w:val="af"/>
          </w:rPr>
          <w:t xml:space="preserve">Technical Infrastructure &amp; Engineering</w:t>
        </w:r>
      </w:hyperlink>
    </w:p>
    <w:p>
      <w:pPr>
        <w:pStyle w:val="Compact"/>
        <w:numPr>
          <w:ilvl w:val="0"/>
          <w:numId w:val="1001"/>
        </w:numPr>
      </w:pPr>
      <w:hyperlink w:anchor="X3ab8a1c044abf3c969522ac1db67db6f76d3e31">
        <w:r>
          <w:rPr>
            <w:rStyle w:val="af"/>
          </w:rPr>
          <w:t xml:space="preserve">Go-to-Market &amp; Growth Strategy</w:t>
        </w:r>
      </w:hyperlink>
    </w:p>
    <w:p>
      <w:pPr>
        <w:pStyle w:val="Compact"/>
        <w:numPr>
          <w:ilvl w:val="0"/>
          <w:numId w:val="1001"/>
        </w:numPr>
      </w:pPr>
      <w:hyperlink w:anchor="Xaed6f2eaa546d8d48bcdb398dba9e173d6b77d5">
        <w:r>
          <w:rPr>
            <w:rStyle w:val="af"/>
          </w:rPr>
          <w:t xml:space="preserve">Financial Model &amp; Projections</w:t>
        </w:r>
      </w:hyperlink>
    </w:p>
    <w:p>
      <w:pPr>
        <w:pStyle w:val="Compact"/>
        <w:numPr>
          <w:ilvl w:val="0"/>
          <w:numId w:val="1001"/>
        </w:numPr>
      </w:pPr>
      <w:hyperlink w:anchor="Xb44ae42a8fcdd3890ced17acd7163e0c7fb98e2">
        <w:r>
          <w:rPr>
            <w:rStyle w:val="af"/>
          </w:rPr>
          <w:t xml:space="preserve">Regulatory &amp; Compliance Framework</w:t>
        </w:r>
      </w:hyperlink>
    </w:p>
    <w:p>
      <w:pPr>
        <w:pStyle w:val="Compact"/>
        <w:numPr>
          <w:ilvl w:val="0"/>
          <w:numId w:val="1001"/>
        </w:numPr>
      </w:pPr>
      <w:hyperlink w:anchor="X5da4b7d841924f20b5656d3c474187dfab174ee">
        <w:r>
          <w:rPr>
            <w:rStyle w:val="af"/>
          </w:rPr>
          <w:t xml:space="preserve">Implementation Roadmap</w:t>
        </w:r>
      </w:hyperlink>
    </w:p>
    <w:p>
      <w:pPr>
        <w:pStyle w:val="Compact"/>
        <w:numPr>
          <w:ilvl w:val="0"/>
          <w:numId w:val="1001"/>
        </w:numPr>
      </w:pPr>
      <w:hyperlink w:anchor="Xb5606fa7488d1d27f2430a233518e5ef42e594f">
        <w:r>
          <w:rPr>
            <w:rStyle w:val="af"/>
          </w:rPr>
          <w:t xml:space="preserve">Risk Assessment &amp; Mitigation</w:t>
        </w:r>
      </w:hyperlink>
    </w:p>
    <w:p>
      <w:pPr>
        <w:pStyle w:val="Compact"/>
        <w:numPr>
          <w:ilvl w:val="0"/>
          <w:numId w:val="1001"/>
        </w:numPr>
      </w:pPr>
      <w:hyperlink w:anchor="X30bfd1d3686d43b794f9c4bf827135f99f553e6">
        <w:r>
          <w:rPr>
            <w:rStyle w:val="af"/>
          </w:rPr>
          <w:t xml:space="preserve">Appendices</w:t>
        </w:r>
      </w:hyperlink>
    </w:p>
    <w:p>
      <w:r>
        <w:pict>
          <v:rect style="width:0;height:1.5pt" o:hralign="center" o:hrstd="t" o:hr="t"/>
        </w:pict>
      </w:r>
    </w:p>
    <w:bookmarkEnd w:id="21"/>
    <w:bookmarkStart w:id="27" w:name="executive-summary"/>
    <w:p>
      <w:pPr>
        <w:pStyle w:val="2"/>
      </w:pPr>
      <w:r>
        <w:t xml:space="preserve">1. EXECUTIVE SUMMARY</w:t>
      </w:r>
    </w:p>
    <w:bookmarkStart w:id="22" w:name="the-core-thesis"/>
    <w:p>
      <w:pPr>
        <w:pStyle w:val="3"/>
      </w:pPr>
      <w:r>
        <w:t xml:space="preserve">1.1 The Core Thesis</w:t>
      </w:r>
    </w:p>
    <w:p>
      <w:pPr>
        <w:pStyle w:val="FirstParagraph"/>
      </w:pPr>
      <w:r>
        <w:t xml:space="preserve">The informal economy employs</w:t>
      </w:r>
      <w:r>
        <w:t xml:space="preserve"> </w:t>
      </w:r>
      <w:r>
        <w:rPr>
          <w:b/>
          <w:bCs/>
        </w:rPr>
        <w:t xml:space="preserve">80% of Africa’s workforce</w:t>
      </w:r>
      <w:r>
        <w:t xml:space="preserve"> </w:t>
      </w:r>
      <w:r>
        <w:t xml:space="preserve">and generates</w:t>
      </w:r>
      <w:r>
        <w:t xml:space="preserve"> </w:t>
      </w:r>
      <w:r>
        <w:rPr>
          <w:b/>
          <w:bCs/>
        </w:rPr>
        <w:t xml:space="preserve">35-50% of the continent’s GDP</w:t>
      </w:r>
      <w:r>
        <w:t xml:space="preserve">, yet remains almost entirely excluded from formal financial infrastructure. Mobile money solved the</w:t>
      </w:r>
      <w:r>
        <w:t xml:space="preserve"> </w:t>
      </w:r>
      <w:r>
        <w:t xml:space="preserve">“</w:t>
      </w:r>
      <w:r>
        <w:t xml:space="preserve">payment</w:t>
      </w:r>
      <w:r>
        <w:t xml:space="preserve">”</w:t>
      </w:r>
      <w:r>
        <w:t xml:space="preserve"> </w:t>
      </w:r>
      <w:r>
        <w:t xml:space="preserve">problem — M-Pesa alone processes</w:t>
      </w:r>
      <w:r>
        <w:t xml:space="preserve"> </w:t>
      </w:r>
      <w:r>
        <w:rPr>
          <w:b/>
          <w:bCs/>
        </w:rPr>
        <w:t xml:space="preserve">$314 billion annually</w:t>
      </w:r>
      <w:r>
        <w:t xml:space="preserve"> </w:t>
      </w:r>
      <w:r>
        <w:t xml:space="preserve">across 51 million users — but the</w:t>
      </w:r>
      <w:r>
        <w:t xml:space="preserve"> </w:t>
      </w:r>
      <w:r>
        <w:t xml:space="preserve">“</w:t>
      </w:r>
      <w:r>
        <w:t xml:space="preserve">credit,</w:t>
      </w:r>
      <w:r>
        <w:t xml:space="preserve">”</w:t>
      </w:r>
      <w:r>
        <w:t xml:space="preserve"> </w:t>
      </w:r>
      <w:r>
        <w:t xml:space="preserve">“</w:t>
      </w:r>
      <w:r>
        <w:t xml:space="preserve">savings,</w:t>
      </w:r>
      <w:r>
        <w:t xml:space="preserve">”</w:t>
      </w:r>
      <w:r>
        <w:t xml:space="preserve"> </w:t>
      </w:r>
      <w:r>
        <w:t xml:space="preserve">“</w:t>
      </w:r>
      <w:r>
        <w:t xml:space="preserve">insurance,</w:t>
      </w:r>
      <w:r>
        <w:t xml:space="preserve">”</w:t>
      </w:r>
      <w:r>
        <w:t xml:space="preserve"> </w:t>
      </w:r>
      <w:r>
        <w:t xml:space="preserve">and</w:t>
      </w:r>
      <w:r>
        <w:t xml:space="preserve"> </w:t>
      </w:r>
      <w:r>
        <w:t xml:space="preserve">“</w:t>
      </w:r>
      <w:r>
        <w:t xml:space="preserve">commerce</w:t>
      </w:r>
      <w:r>
        <w:t xml:space="preserve">”</w:t>
      </w:r>
      <w:r>
        <w:t xml:space="preserve"> </w:t>
      </w:r>
      <w:r>
        <w:t xml:space="preserve">layers remain fundamentally broken for informal workers, market vendors, gig laborers, and small traders who lack collateral, formal employment records, and credit histories.</w:t>
      </w:r>
    </w:p>
    <w:p>
      <w:pPr>
        <w:pStyle w:val="a0"/>
      </w:pPr>
      <w:r>
        <w:rPr>
          <w:b/>
          <w:bCs/>
        </w:rPr>
        <w:t xml:space="preserve">TWENDE is not an app. TWENDE is foundational digital trust infrastructure.</w:t>
      </w:r>
    </w:p>
    <w:p>
      <w:pPr>
        <w:pStyle w:val="a0"/>
      </w:pPr>
      <w:r>
        <w:t xml:space="preserve">Built as a unified platform architecture comprising five integrated product pillars —</w:t>
      </w:r>
      <w:r>
        <w:t xml:space="preserve"> </w:t>
      </w:r>
      <w:r>
        <w:rPr>
          <w:b/>
          <w:bCs/>
        </w:rPr>
        <w:t xml:space="preserve">Chama</w:t>
      </w:r>
      <w:r>
        <w:t xml:space="preserve"> </w:t>
      </w:r>
      <w:r>
        <w:t xml:space="preserve">(digital savings groups),</w:t>
      </w:r>
      <w:r>
        <w:t xml:space="preserve"> </w:t>
      </w:r>
      <w:r>
        <w:rPr>
          <w:b/>
          <w:bCs/>
        </w:rPr>
        <w:t xml:space="preserve">Biashara</w:t>
      </w:r>
      <w:r>
        <w:t xml:space="preserve"> </w:t>
      </w:r>
      <w:r>
        <w:t xml:space="preserve">(micro-credit),</w:t>
      </w:r>
      <w:r>
        <w:t xml:space="preserve"> </w:t>
      </w:r>
      <w:r>
        <w:rPr>
          <w:b/>
          <w:bCs/>
        </w:rPr>
        <w:t xml:space="preserve">Kazi</w:t>
      </w:r>
      <w:r>
        <w:t xml:space="preserve"> </w:t>
      </w:r>
      <w:r>
        <w:t xml:space="preserve">(gig work marketplace),</w:t>
      </w:r>
      <w:r>
        <w:t xml:space="preserve"> </w:t>
      </w:r>
      <w:r>
        <w:rPr>
          <w:b/>
          <w:bCs/>
        </w:rPr>
        <w:t xml:space="preserve">Linda</w:t>
      </w:r>
      <w:r>
        <w:t xml:space="preserve"> </w:t>
      </w:r>
      <w:r>
        <w:t xml:space="preserve">(micro-insurance), and</w:t>
      </w:r>
      <w:r>
        <w:t xml:space="preserve"> </w:t>
      </w:r>
      <w:r>
        <w:rPr>
          <w:b/>
          <w:bCs/>
        </w:rPr>
        <w:t xml:space="preserve">Soko</w:t>
      </w:r>
      <w:r>
        <w:t xml:space="preserve"> </w:t>
      </w:r>
      <w:r>
        <w:t xml:space="preserve">(social commerce) — all unified under the</w:t>
      </w:r>
      <w:r>
        <w:t xml:space="preserve"> </w:t>
      </w:r>
      <w:r>
        <w:rPr>
          <w:b/>
          <w:bCs/>
        </w:rPr>
        <w:t xml:space="preserve">Trust Engine</w:t>
      </w:r>
      <w:r>
        <w:t xml:space="preserve">, a proprietary alternative credit scoring system that converts multidimensional behavioral data into transparent, explainable, and fair 300-850 credit scores. The Trust Engine employs XGBoost gradient boosting with SHAP-based explainability, operates under explicit fairness constraints that exclude demographic variables, and generates individual-level explanations that satisfy regulatory</w:t>
      </w:r>
      <w:r>
        <w:t xml:space="preserve"> </w:t>
      </w:r>
      <w:r>
        <w:t xml:space="preserve">“</w:t>
      </w:r>
      <w:r>
        <w:t xml:space="preserve">right to explanation</w:t>
      </w:r>
      <w:r>
        <w:t xml:space="preserve">”</w:t>
      </w:r>
      <w:r>
        <w:t xml:space="preserve"> </w:t>
      </w:r>
      <w:r>
        <w:t xml:space="preserve">mandates across Kenya, Tanzania, Uganda, and Rwanda.</w:t>
      </w:r>
    </w:p>
    <w:bookmarkEnd w:id="22"/>
    <w:bookmarkStart w:id="23" w:name="market-opportunity"/>
    <w:p>
      <w:pPr>
        <w:pStyle w:val="3"/>
      </w:pPr>
      <w:r>
        <w:t xml:space="preserve">1.2 Market Opportunity</w:t>
      </w:r>
    </w:p>
    <w:tbl>
      <w:tblPr>
        <w:tblStyle w:val="Table"/>
        <w:tblW w:type="pct" w:w="5000"/>
        <w:jc w:val="left"/>
        <w:tblLayout w:type="fixed"/>
        <w:tblLook w:firstRow="1" w:lastRow="0" w:firstColumn="0" w:lastColumn="0" w:noHBand="0" w:noVBand="0" w:val="0020"/>
      </w:tblPr>
      <w:tblGrid>
        <w:gridCol w:w="2754"/>
        <w:gridCol w:w="2410"/>
        <w:gridCol w:w="2754"/>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Sub-Saharan Africa financially excluded adults</w:t>
            </w:r>
          </w:p>
        </w:tc>
        <w:tc>
          <w:tcPr/>
          <w:p>
            <w:pPr>
              <w:pStyle w:val="Compact"/>
              <w:jc w:val="left"/>
            </w:pPr>
            <w:r>
              <w:rPr>
                <w:b/>
                <w:bCs/>
              </w:rPr>
              <w:t xml:space="preserve">350 million</w:t>
            </w:r>
          </w:p>
        </w:tc>
        <w:tc>
          <w:tcPr/>
          <w:p>
            <w:pPr>
              <w:pStyle w:val="Compact"/>
              <w:jc w:val="left"/>
            </w:pPr>
            <w:r>
              <w:t xml:space="preserve">World Bank Global Findex 2021</w:t>
            </w:r>
          </w:p>
        </w:tc>
      </w:tr>
      <w:tr>
        <w:tc>
          <w:tcPr/>
          <w:p>
            <w:pPr>
              <w:pStyle w:val="Compact"/>
              <w:jc w:val="left"/>
            </w:pPr>
            <w:r>
              <w:t xml:space="preserve">East Africa (KE, UG, ET, RW) mobile money active users</w:t>
            </w:r>
          </w:p>
        </w:tc>
        <w:tc>
          <w:tcPr/>
          <w:p>
            <w:pPr>
              <w:pStyle w:val="Compact"/>
              <w:jc w:val="left"/>
            </w:pPr>
            <w:r>
              <w:rPr>
                <w:b/>
                <w:bCs/>
              </w:rPr>
              <w:t xml:space="preserve">120 million</w:t>
            </w:r>
          </w:p>
        </w:tc>
        <w:tc>
          <w:tcPr/>
          <w:p>
            <w:pPr>
              <w:pStyle w:val="Compact"/>
              <w:jc w:val="left"/>
            </w:pPr>
            <w:r>
              <w:t xml:space="preserve">GSMA State of the Industry 2024</w:t>
            </w:r>
          </w:p>
        </w:tc>
      </w:tr>
      <w:tr>
        <w:tc>
          <w:tcPr/>
          <w:p>
            <w:pPr>
              <w:pStyle w:val="Compact"/>
              <w:jc w:val="left"/>
            </w:pPr>
            <w:r>
              <w:t xml:space="preserve">Annual MSME financing gap globally</w:t>
            </w:r>
          </w:p>
        </w:tc>
        <w:tc>
          <w:tcPr/>
          <w:p>
            <w:pPr>
              <w:pStyle w:val="Compact"/>
              <w:jc w:val="left"/>
            </w:pPr>
            <w:r>
              <w:rPr>
                <w:b/>
                <w:bCs/>
              </w:rPr>
              <w:t xml:space="preserve">$5.7 trillion</w:t>
            </w:r>
          </w:p>
        </w:tc>
        <w:tc>
          <w:tcPr/>
          <w:p>
            <w:pPr>
              <w:pStyle w:val="Compact"/>
              <w:jc w:val="left"/>
            </w:pPr>
            <w:r>
              <w:t xml:space="preserve">IFC Enterprise Finance Gap Report</w:t>
            </w:r>
          </w:p>
        </w:tc>
      </w:tr>
      <w:tr>
        <w:tc>
          <w:tcPr/>
          <w:p>
            <w:pPr>
              <w:pStyle w:val="Compact"/>
              <w:jc w:val="left"/>
            </w:pPr>
            <w:r>
              <w:t xml:space="preserve">Tanzania informal economy GDP contribution</w:t>
            </w:r>
          </w:p>
        </w:tc>
        <w:tc>
          <w:tcPr/>
          <w:p>
            <w:pPr>
              <w:pStyle w:val="Compact"/>
              <w:jc w:val="left"/>
            </w:pPr>
            <w:r>
              <w:rPr>
                <w:b/>
                <w:bCs/>
              </w:rPr>
              <w:t xml:space="preserve">35-50%</w:t>
            </w:r>
          </w:p>
        </w:tc>
        <w:tc>
          <w:tcPr/>
          <w:p>
            <w:pPr>
              <w:pStyle w:val="Compact"/>
              <w:jc w:val="left"/>
            </w:pPr>
            <w:r>
              <w:t xml:space="preserve">World Bank Tanzania Economic Update</w:t>
            </w:r>
          </w:p>
        </w:tc>
      </w:tr>
      <w:tr>
        <w:tc>
          <w:tcPr/>
          <w:p>
            <w:pPr>
              <w:pStyle w:val="Compact"/>
              <w:jc w:val="left"/>
            </w:pPr>
            <w:r>
              <w:t xml:space="preserve">Tanzania mobile money active accounts</w:t>
            </w:r>
          </w:p>
        </w:tc>
        <w:tc>
          <w:tcPr/>
          <w:p>
            <w:pPr>
              <w:pStyle w:val="Compact"/>
              <w:jc w:val="left"/>
            </w:pPr>
            <w:r>
              <w:rPr>
                <w:b/>
                <w:bCs/>
              </w:rPr>
              <w:t xml:space="preserve">35+ million</w:t>
            </w:r>
          </w:p>
        </w:tc>
        <w:tc>
          <w:tcPr/>
          <w:p>
            <w:pPr>
              <w:pStyle w:val="Compact"/>
              <w:jc w:val="left"/>
            </w:pPr>
            <w:r>
              <w:t xml:space="preserve">Bank of Tanzania Payment Systems Report</w:t>
            </w:r>
          </w:p>
        </w:tc>
      </w:tr>
      <w:tr>
        <w:tc>
          <w:tcPr/>
          <w:p>
            <w:pPr>
              <w:pStyle w:val="Compact"/>
              <w:jc w:val="left"/>
            </w:pPr>
            <w:r>
              <w:t xml:space="preserve">Kenya mobile money (M-Pesa) annual volume</w:t>
            </w:r>
          </w:p>
        </w:tc>
        <w:tc>
          <w:tcPr/>
          <w:p>
            <w:pPr>
              <w:pStyle w:val="Compact"/>
              <w:jc w:val="left"/>
            </w:pPr>
            <w:r>
              <w:rPr>
                <w:b/>
                <w:bCs/>
              </w:rPr>
              <w:t xml:space="preserve">$314 billion</w:t>
            </w:r>
          </w:p>
        </w:tc>
        <w:tc>
          <w:tcPr/>
          <w:p>
            <w:pPr>
              <w:pStyle w:val="Compact"/>
              <w:jc w:val="left"/>
            </w:pPr>
            <w:r>
              <w:t xml:space="preserve">Safaricom FY2024 Annual Report</w:t>
            </w:r>
          </w:p>
        </w:tc>
      </w:tr>
      <w:tr>
        <w:tc>
          <w:tcPr/>
          <w:p>
            <w:pPr>
              <w:pStyle w:val="Compact"/>
              <w:jc w:val="left"/>
            </w:pPr>
            <w:r>
              <w:t xml:space="preserve">East Africa fintech funding 2025</w:t>
            </w:r>
          </w:p>
        </w:tc>
        <w:tc>
          <w:tcPr/>
          <w:p>
            <w:pPr>
              <w:pStyle w:val="Compact"/>
              <w:jc w:val="left"/>
            </w:pPr>
            <w:r>
              <w:rPr>
                <w:b/>
                <w:bCs/>
              </w:rPr>
              <w:t xml:space="preserve">$693.9 million</w:t>
            </w:r>
            <w:r>
              <w:t xml:space="preserve"> </w:t>
            </w:r>
            <w:r>
              <w:t xml:space="preserve">(+41.9% YoY)</w:t>
            </w:r>
          </w:p>
        </w:tc>
        <w:tc>
          <w:tcPr/>
          <w:p>
            <w:pPr>
              <w:pStyle w:val="Compact"/>
              <w:jc w:val="left"/>
            </w:pPr>
            <w:r>
              <w:t xml:space="preserve">Disrupt Africa 2025 Funding Report</w:t>
            </w:r>
          </w:p>
        </w:tc>
      </w:tr>
    </w:tbl>
    <w:bookmarkEnd w:id="23"/>
    <w:bookmarkStart w:id="24" w:name="the-competitive-moat"/>
    <w:p>
      <w:pPr>
        <w:pStyle w:val="3"/>
      </w:pPr>
      <w:r>
        <w:t xml:space="preserve">1.3 The Competitive Moat</w:t>
      </w:r>
    </w:p>
    <w:p>
      <w:pPr>
        <w:pStyle w:val="FirstParagraph"/>
      </w:pPr>
      <w:r>
        <w:t xml:space="preserve">No existing competitor offers a unified five-pillar platform with integrated alternative credit scoring. The competitive landscape is fragmented:</w:t>
      </w:r>
    </w:p>
    <w:tbl>
      <w:tblPr>
        <w:tblStyle w:val="Table"/>
        <w:tblW w:type="pct" w:w="5000"/>
        <w:jc w:val="left"/>
        <w:tblLayout w:type="fixed"/>
        <w:tblLook w:firstRow="1" w:lastRow="0" w:firstColumn="0" w:lastColumn="0" w:noHBand="0" w:noVBand="0" w:val="0020"/>
      </w:tblPr>
      <w:tblGrid>
        <w:gridCol w:w="1067"/>
        <w:gridCol w:w="1245"/>
        <w:gridCol w:w="1423"/>
        <w:gridCol w:w="1868"/>
        <w:gridCol w:w="2313"/>
      </w:tblGrid>
      <w:tr>
        <w:trPr>
          <w:tblHeader w:val="on"/>
        </w:trPr>
        <w:tc>
          <w:tcPr/>
          <w:p>
            <w:pPr>
              <w:pStyle w:val="Compact"/>
              <w:jc w:val="left"/>
            </w:pPr>
            <w:r>
              <w:t xml:space="preserve">Competitor</w:t>
            </w:r>
          </w:p>
        </w:tc>
        <w:tc>
          <w:tcPr/>
          <w:p>
            <w:pPr>
              <w:pStyle w:val="Compact"/>
              <w:jc w:val="left"/>
            </w:pPr>
            <w:r>
              <w:t xml:space="preserve">Product Scope</w:t>
            </w:r>
          </w:p>
        </w:tc>
        <w:tc>
          <w:tcPr/>
          <w:p>
            <w:pPr>
              <w:pStyle w:val="Compact"/>
              <w:jc w:val="left"/>
            </w:pPr>
            <w:r>
              <w:t xml:space="preserve">Credit Scoring</w:t>
            </w:r>
          </w:p>
        </w:tc>
        <w:tc>
          <w:tcPr/>
          <w:p>
            <w:pPr>
              <w:pStyle w:val="Compact"/>
              <w:jc w:val="left"/>
            </w:pPr>
            <w:r>
              <w:t xml:space="preserve">Trust Explainability</w:t>
            </w:r>
          </w:p>
        </w:tc>
        <w:tc>
          <w:tcPr/>
          <w:p>
            <w:pPr>
              <w:pStyle w:val="Compact"/>
              <w:jc w:val="left"/>
            </w:pPr>
            <w:r>
              <w:t xml:space="preserve">Cross-Product Integration</w:t>
            </w:r>
          </w:p>
        </w:tc>
      </w:tr>
      <w:tr>
        <w:tc>
          <w:tcPr/>
          <w:p>
            <w:pPr>
              <w:pStyle w:val="Compact"/>
              <w:jc w:val="left"/>
            </w:pPr>
            <w:r>
              <w:rPr>
                <w:b/>
                <w:bCs/>
              </w:rPr>
              <w:t xml:space="preserve">M-Shwari</w:t>
            </w:r>
            <w:r>
              <w:t xml:space="preserve"> </w:t>
            </w:r>
            <w:r>
              <w:t xml:space="preserve">(Safaricom/CBA)</w:t>
            </w:r>
          </w:p>
        </w:tc>
        <w:tc>
          <w:tcPr/>
          <w:p>
            <w:pPr>
              <w:pStyle w:val="Compact"/>
              <w:jc w:val="left"/>
            </w:pPr>
            <w:r>
              <w:t xml:space="preserve">Savings + Loans only</w:t>
            </w:r>
          </w:p>
        </w:tc>
        <w:tc>
          <w:tcPr/>
          <w:p>
            <w:pPr>
              <w:pStyle w:val="Compact"/>
              <w:jc w:val="left"/>
            </w:pPr>
            <w:r>
              <w:t xml:space="preserve">Transaction-based</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Branch</w:t>
            </w:r>
          </w:p>
        </w:tc>
        <w:tc>
          <w:tcPr/>
          <w:p>
            <w:pPr>
              <w:pStyle w:val="Compact"/>
              <w:jc w:val="left"/>
            </w:pPr>
            <w:r>
              <w:t xml:space="preserve">Loans only</w:t>
            </w:r>
          </w:p>
        </w:tc>
        <w:tc>
          <w:tcPr/>
          <w:p>
            <w:pPr>
              <w:pStyle w:val="Compact"/>
              <w:jc w:val="left"/>
            </w:pPr>
            <w:r>
              <w:t xml:space="preserve">Smartphone data</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Chamasoft</w:t>
            </w:r>
          </w:p>
        </w:tc>
        <w:tc>
          <w:tcPr/>
          <w:p>
            <w:pPr>
              <w:pStyle w:val="Compact"/>
              <w:jc w:val="left"/>
            </w:pPr>
            <w:r>
              <w:t xml:space="preserve">Chama management only</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None</w:t>
            </w:r>
          </w:p>
        </w:tc>
      </w:tr>
      <w:tr>
        <w:tc>
          <w:tcPr/>
          <w:p>
            <w:pPr>
              <w:pStyle w:val="Compact"/>
              <w:jc w:val="left"/>
            </w:pPr>
            <w:r>
              <w:rPr>
                <w:b/>
                <w:bCs/>
              </w:rPr>
              <w:t xml:space="preserve">Pula</w:t>
            </w:r>
          </w:p>
        </w:tc>
        <w:tc>
          <w:tcPr/>
          <w:p>
            <w:pPr>
              <w:pStyle w:val="Compact"/>
              <w:jc w:val="left"/>
            </w:pPr>
            <w:r>
              <w:t xml:space="preserve">Insurance only</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None</w:t>
            </w:r>
          </w:p>
        </w:tc>
      </w:tr>
      <w:tr>
        <w:tc>
          <w:tcPr/>
          <w:p>
            <w:pPr>
              <w:pStyle w:val="Compact"/>
              <w:jc w:val="left"/>
            </w:pPr>
            <w:r>
              <w:rPr>
                <w:b/>
                <w:bCs/>
              </w:rPr>
              <w:t xml:space="preserve">TWENDE</w:t>
            </w:r>
          </w:p>
        </w:tc>
        <w:tc>
          <w:tcPr/>
          <w:p>
            <w:pPr>
              <w:pStyle w:val="Compact"/>
              <w:jc w:val="left"/>
            </w:pPr>
            <w:r>
              <w:rPr>
                <w:b/>
                <w:bCs/>
              </w:rPr>
              <w:t xml:space="preserve">5 pillars unified</w:t>
            </w:r>
          </w:p>
        </w:tc>
        <w:tc>
          <w:tcPr/>
          <w:p>
            <w:pPr>
              <w:pStyle w:val="Compact"/>
              <w:jc w:val="left"/>
            </w:pPr>
            <w:r>
              <w:rPr>
                <w:b/>
                <w:bCs/>
              </w:rPr>
              <w:t xml:space="preserve">7-factor algorithm</w:t>
            </w:r>
          </w:p>
        </w:tc>
        <w:tc>
          <w:tcPr/>
          <w:p>
            <w:pPr>
              <w:pStyle w:val="Compact"/>
              <w:jc w:val="left"/>
            </w:pPr>
            <w:r>
              <w:rPr>
                <w:b/>
                <w:bCs/>
              </w:rPr>
              <w:t xml:space="preserve">SHAP + counterfactuals</w:t>
            </w:r>
          </w:p>
        </w:tc>
        <w:tc>
          <w:tcPr/>
          <w:p>
            <w:pPr>
              <w:pStyle w:val="Compact"/>
              <w:jc w:val="left"/>
            </w:pPr>
            <w:r>
              <w:rPr>
                <w:b/>
                <w:bCs/>
              </w:rPr>
              <w:t xml:space="preserve">Full data flywheel</w:t>
            </w:r>
          </w:p>
        </w:tc>
      </w:tr>
    </w:tbl>
    <w:p>
      <w:pPr>
        <w:pStyle w:val="a0"/>
      </w:pPr>
      <w:r>
        <w:t xml:space="preserve">The cross-product data flywheel creates a compounding advantage: every action on any TWENDE pillar improves the user’s Trust Score, which unlocks better terms on every other pillar. Chama savings improve loan eligibility. Soko sales improve credit limits. Kazi gig completion improves insurance rates. This flywheel does not exist in any competing platform.</w:t>
      </w:r>
    </w:p>
    <w:bookmarkEnd w:id="24"/>
    <w:bookmarkStart w:id="25" w:name="traction-technical-validation"/>
    <w:p>
      <w:pPr>
        <w:pStyle w:val="3"/>
      </w:pPr>
      <w:r>
        <w:t xml:space="preserve">1.4 Traction &amp; Technical Validation</w:t>
      </w:r>
    </w:p>
    <w:tbl>
      <w:tblPr>
        <w:tblStyle w:val="Table"/>
        <w:tblW w:type="pct" w:w="5000"/>
        <w:jc w:val="left"/>
        <w:tblLayout w:type="fixed"/>
        <w:tblLook w:firstRow="1" w:lastRow="0" w:firstColumn="0" w:lastColumn="0" w:noHBand="0" w:noVBand="0" w:val="0020"/>
      </w:tblPr>
      <w:tblGrid>
        <w:gridCol w:w="3004"/>
        <w:gridCol w:w="2184"/>
        <w:gridCol w:w="2731"/>
      </w:tblGrid>
      <w:tr>
        <w:trPr>
          <w:tblHeader w:val="on"/>
        </w:trPr>
        <w:tc>
          <w:tcPr/>
          <w:p>
            <w:pPr>
              <w:pStyle w:val="Compact"/>
              <w:jc w:val="left"/>
            </w:pPr>
            <w:r>
              <w:t xml:space="preserve">Milestone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Frontend prototype</w:t>
            </w:r>
          </w:p>
        </w:tc>
        <w:tc>
          <w:tcPr/>
          <w:p>
            <w:pPr>
              <w:pStyle w:val="Compact"/>
              <w:jc w:val="left"/>
            </w:pPr>
            <w:r>
              <w:rPr>
                <w:b/>
                <w:bCs/>
              </w:rPr>
              <w:t xml:space="preserve">Complete</w:t>
            </w:r>
          </w:p>
        </w:tc>
        <w:tc>
          <w:tcPr/>
          <w:p>
            <w:pPr>
              <w:pStyle w:val="Compact"/>
              <w:jc w:val="left"/>
            </w:pPr>
            <w:r>
              <w:t xml:space="preserve">21 routes, 24+ React components, 0 build errors</w:t>
            </w:r>
          </w:p>
        </w:tc>
      </w:tr>
      <w:tr>
        <w:tc>
          <w:tcPr/>
          <w:p>
            <w:pPr>
              <w:pStyle w:val="Compact"/>
              <w:jc w:val="left"/>
            </w:pPr>
            <w:r>
              <w:t xml:space="preserve">Trust Engine algorithm</w:t>
            </w:r>
          </w:p>
        </w:tc>
        <w:tc>
          <w:tcPr/>
          <w:p>
            <w:pPr>
              <w:pStyle w:val="Compact"/>
              <w:jc w:val="left"/>
            </w:pPr>
            <w:r>
              <w:rPr>
                <w:b/>
                <w:bCs/>
              </w:rPr>
              <w:t xml:space="preserve">Complete</w:t>
            </w:r>
          </w:p>
        </w:tc>
        <w:tc>
          <w:tcPr/>
          <w:p>
            <w:pPr>
              <w:pStyle w:val="Compact"/>
              <w:jc w:val="left"/>
            </w:pPr>
            <w:r>
              <w:t xml:space="preserve">7-factor scoring, XGBoost architecture, SHAP explainability</w:t>
            </w:r>
          </w:p>
        </w:tc>
      </w:tr>
      <w:tr>
        <w:tc>
          <w:tcPr/>
          <w:p>
            <w:pPr>
              <w:pStyle w:val="Compact"/>
              <w:jc w:val="left"/>
            </w:pPr>
            <w:r>
              <w:t xml:space="preserve">Loan calculation engine</w:t>
            </w:r>
          </w:p>
        </w:tc>
        <w:tc>
          <w:tcPr/>
          <w:p>
            <w:pPr>
              <w:pStyle w:val="Compact"/>
              <w:jc w:val="left"/>
            </w:pPr>
            <w:r>
              <w:rPr>
                <w:b/>
                <w:bCs/>
              </w:rPr>
              <w:t xml:space="preserve">Complete</w:t>
            </w:r>
          </w:p>
        </w:tc>
        <w:tc>
          <w:tcPr/>
          <w:p>
            <w:pPr>
              <w:pStyle w:val="Compact"/>
              <w:jc w:val="left"/>
            </w:pPr>
            <w:r>
              <w:t xml:space="preserve">Reducing balance formula, 3 loan products, APR compliance</w:t>
            </w:r>
          </w:p>
        </w:tc>
      </w:tr>
      <w:tr>
        <w:tc>
          <w:tcPr/>
          <w:p>
            <w:pPr>
              <w:pStyle w:val="Compact"/>
              <w:jc w:val="left"/>
            </w:pPr>
            <w:r>
              <w:t xml:space="preserve">Social commerce marketplace</w:t>
            </w:r>
          </w:p>
        </w:tc>
        <w:tc>
          <w:tcPr/>
          <w:p>
            <w:pPr>
              <w:pStyle w:val="Compact"/>
              <w:jc w:val="left"/>
            </w:pPr>
            <w:r>
              <w:rPr>
                <w:b/>
                <w:bCs/>
              </w:rPr>
              <w:t xml:space="preserve">Complete</w:t>
            </w:r>
          </w:p>
        </w:tc>
        <w:tc>
          <w:tcPr/>
          <w:p>
            <w:pPr>
              <w:pStyle w:val="Compact"/>
              <w:jc w:val="left"/>
            </w:pPr>
            <w:r>
              <w:t xml:space="preserve">3 vendor storefronts, 8 products, WhatsApp selling, flash sales</w:t>
            </w:r>
          </w:p>
        </w:tc>
      </w:tr>
      <w:tr>
        <w:tc>
          <w:tcPr/>
          <w:p>
            <w:pPr>
              <w:pStyle w:val="Compact"/>
              <w:jc w:val="left"/>
            </w:pPr>
            <w:r>
              <w:t xml:space="preserve">Deployment</w:t>
            </w:r>
          </w:p>
        </w:tc>
        <w:tc>
          <w:tcPr/>
          <w:p>
            <w:pPr>
              <w:pStyle w:val="Compact"/>
              <w:jc w:val="left"/>
            </w:pPr>
            <w:r>
              <w:rPr>
                <w:b/>
                <w:bCs/>
              </w:rPr>
              <w:t xml:space="preserve">Live</w:t>
            </w:r>
          </w:p>
        </w:tc>
        <w:tc>
          <w:tcPr/>
          <w:p>
            <w:pPr>
              <w:pStyle w:val="Compact"/>
              <w:jc w:val="left"/>
            </w:pPr>
            <w:r>
              <w:t xml:space="preserve">Vercel production, HashRouter, 832 KB bundle</w:t>
            </w:r>
          </w:p>
        </w:tc>
      </w:tr>
      <w:tr>
        <w:tc>
          <w:tcPr/>
          <w:p>
            <w:pPr>
              <w:pStyle w:val="Compact"/>
              <w:jc w:val="left"/>
            </w:pPr>
            <w:r>
              <w:t xml:space="preserve">Documentation</w:t>
            </w:r>
          </w:p>
        </w:tc>
        <w:tc>
          <w:tcPr/>
          <w:p>
            <w:pPr>
              <w:pStyle w:val="Compact"/>
              <w:jc w:val="left"/>
            </w:pPr>
            <w:r>
              <w:rPr>
                <w:b/>
                <w:bCs/>
              </w:rPr>
              <w:t xml:space="preserve">Complete</w:t>
            </w:r>
          </w:p>
        </w:tc>
        <w:tc>
          <w:tcPr/>
          <w:p>
            <w:pPr>
              <w:pStyle w:val="Compact"/>
              <w:jc w:val="left"/>
            </w:pPr>
            <w:r>
              <w:t xml:space="preserve">PRD, TRD, 12 sprint specifications, white paper, pitch deck</w:t>
            </w:r>
          </w:p>
        </w:tc>
      </w:tr>
      <w:tr>
        <w:tc>
          <w:tcPr/>
          <w:p>
            <w:pPr>
              <w:pStyle w:val="Compact"/>
              <w:jc w:val="left"/>
            </w:pPr>
            <w:r>
              <w:t xml:space="preserve">Code repository</w:t>
            </w:r>
          </w:p>
        </w:tc>
        <w:tc>
          <w:tcPr/>
          <w:p>
            <w:pPr>
              <w:pStyle w:val="Compact"/>
              <w:jc w:val="left"/>
            </w:pPr>
            <w:r>
              <w:rPr>
                <w:b/>
                <w:bCs/>
              </w:rPr>
              <w:t xml:space="preserve">Active</w:t>
            </w:r>
          </w:p>
        </w:tc>
        <w:tc>
          <w:tcPr/>
          <w:p>
            <w:pPr>
              <w:pStyle w:val="Compact"/>
              <w:jc w:val="left"/>
            </w:pPr>
            <w:r>
              <w:t xml:space="preserve">GitHub, CI/CD via Vercel auto-deploy</w:t>
            </w:r>
          </w:p>
        </w:tc>
      </w:tr>
    </w:tbl>
    <w:bookmarkEnd w:id="25"/>
    <w:bookmarkStart w:id="26" w:name="funding-request-use-of-funds"/>
    <w:p>
      <w:pPr>
        <w:pStyle w:val="3"/>
      </w:pPr>
      <w:r>
        <w:t xml:space="preserve">1.5 Funding Request &amp; Use of Funds</w:t>
      </w:r>
    </w:p>
    <w:p>
      <w:pPr>
        <w:pStyle w:val="FirstParagraph"/>
      </w:pPr>
      <w:r>
        <w:t xml:space="preserve">The immediate objective is to raise</w:t>
      </w:r>
      <w:r>
        <w:t xml:space="preserve"> </w:t>
      </w:r>
      <w:r>
        <w:rPr>
          <w:b/>
          <w:bCs/>
        </w:rPr>
        <w:t xml:space="preserve">$350,000 in non-dilutive grant capital</w:t>
      </w:r>
      <w:r>
        <w:t xml:space="preserve"> </w:t>
      </w:r>
      <w:r>
        <w:t xml:space="preserve">through USADF, NC IDEA, and complementary diaspora-focused funding mechanisms to execute a</w:t>
      </w:r>
      <w:r>
        <w:t xml:space="preserve"> </w:t>
      </w:r>
      <w:r>
        <w:rPr>
          <w:b/>
          <w:bCs/>
        </w:rPr>
        <w:t xml:space="preserve">12-month pilot program in Tanzania</w:t>
      </w:r>
      <w:r>
        <w:t xml:space="preserve"> </w:t>
      </w:r>
      <w:r>
        <w:t xml:space="preserve">targeting 5,000 active users across 200 chama groups, demonstrating Trust Engine efficacy, unit economics validation, and regulatory compliance ahead of a $1.5 million seed round in Q4 2027.</w:t>
      </w:r>
    </w:p>
    <w:tbl>
      <w:tblPr>
        <w:tblStyle w:val="Table"/>
        <w:tblW w:type="pct" w:w="5000"/>
        <w:jc w:val="left"/>
        <w:tblLayout w:type="fixed"/>
        <w:tblLook w:firstRow="1" w:lastRow="0" w:firstColumn="0" w:lastColumn="0" w:noHBand="0" w:noVBand="0" w:val="0020"/>
      </w:tblPr>
      <w:tblGrid>
        <w:gridCol w:w="3432"/>
        <w:gridCol w:w="2112"/>
        <w:gridCol w:w="2376"/>
      </w:tblGrid>
      <w:tr>
        <w:trPr>
          <w:tblHeader w:val="on"/>
        </w:trPr>
        <w:tc>
          <w:tcPr/>
          <w:p>
            <w:pPr>
              <w:pStyle w:val="Compact"/>
              <w:jc w:val="left"/>
            </w:pPr>
            <w:r>
              <w:t xml:space="preserve">Use of Funds</w:t>
            </w:r>
          </w:p>
        </w:tc>
        <w:tc>
          <w:tcPr/>
          <w:p>
            <w:pPr>
              <w:pStyle w:val="Compact"/>
              <w:jc w:val="left"/>
            </w:pPr>
            <w:r>
              <w:t xml:space="preserve">Amount</w:t>
            </w:r>
          </w:p>
        </w:tc>
        <w:tc>
          <w:tcPr/>
          <w:p>
            <w:pPr>
              <w:pStyle w:val="Compact"/>
              <w:jc w:val="left"/>
            </w:pPr>
            <w:r>
              <w:t xml:space="preserve">Purpose</w:t>
            </w:r>
          </w:p>
        </w:tc>
      </w:tr>
      <w:tr>
        <w:tc>
          <w:tcPr/>
          <w:p>
            <w:pPr>
              <w:pStyle w:val="Compact"/>
              <w:jc w:val="left"/>
            </w:pPr>
            <w:r>
              <w:t xml:space="preserve">Product Development (backend, mobile app)</w:t>
            </w:r>
          </w:p>
        </w:tc>
        <w:tc>
          <w:tcPr/>
          <w:p>
            <w:pPr>
              <w:pStyle w:val="Compact"/>
              <w:jc w:val="left"/>
            </w:pPr>
            <w:r>
              <w:t xml:space="preserve">$120,000</w:t>
            </w:r>
          </w:p>
        </w:tc>
        <w:tc>
          <w:tcPr/>
          <w:p>
            <w:pPr>
              <w:pStyle w:val="Compact"/>
              <w:jc w:val="left"/>
            </w:pPr>
            <w:r>
              <w:t xml:space="preserve">PostgreSQL backend, Node.js API, React Native mobile app</w:t>
            </w:r>
          </w:p>
        </w:tc>
      </w:tr>
      <w:tr>
        <w:tc>
          <w:tcPr/>
          <w:p>
            <w:pPr>
              <w:pStyle w:val="Compact"/>
              <w:jc w:val="left"/>
            </w:pPr>
            <w:r>
              <w:t xml:space="preserve">Tanzania Pilot Launch</w:t>
            </w:r>
          </w:p>
        </w:tc>
        <w:tc>
          <w:tcPr/>
          <w:p>
            <w:pPr>
              <w:pStyle w:val="Compact"/>
              <w:jc w:val="left"/>
            </w:pPr>
            <w:r>
              <w:t xml:space="preserve">$80,000</w:t>
            </w:r>
          </w:p>
        </w:tc>
        <w:tc>
          <w:tcPr/>
          <w:p>
            <w:pPr>
              <w:pStyle w:val="Compact"/>
              <w:jc w:val="left"/>
            </w:pPr>
            <w:r>
              <w:t xml:space="preserve">Community agent network, chama onboarding, marketing</w:t>
            </w:r>
          </w:p>
        </w:tc>
      </w:tr>
      <w:tr>
        <w:tc>
          <w:tcPr/>
          <w:p>
            <w:pPr>
              <w:pStyle w:val="Compact"/>
              <w:jc w:val="left"/>
            </w:pPr>
            <w:r>
              <w:t xml:space="preserve">Regulatory Compliance</w:t>
            </w:r>
          </w:p>
        </w:tc>
        <w:tc>
          <w:tcPr/>
          <w:p>
            <w:pPr>
              <w:pStyle w:val="Compact"/>
              <w:jc w:val="left"/>
            </w:pPr>
            <w:r>
              <w:t xml:space="preserve">$50,000</w:t>
            </w:r>
          </w:p>
        </w:tc>
        <w:tc>
          <w:tcPr/>
          <w:p>
            <w:pPr>
              <w:pStyle w:val="Compact"/>
              <w:jc w:val="left"/>
            </w:pPr>
            <w:r>
              <w:t xml:space="preserve">BoT licensing, legal counsel, data protection compliance</w:t>
            </w:r>
          </w:p>
        </w:tc>
      </w:tr>
      <w:tr>
        <w:tc>
          <w:tcPr/>
          <w:p>
            <w:pPr>
              <w:pStyle w:val="Compact"/>
              <w:jc w:val="left"/>
            </w:pPr>
            <w:r>
              <w:t xml:space="preserve">Team Expansion</w:t>
            </w:r>
          </w:p>
        </w:tc>
        <w:tc>
          <w:tcPr/>
          <w:p>
            <w:pPr>
              <w:pStyle w:val="Compact"/>
              <w:jc w:val="left"/>
            </w:pPr>
            <w:r>
              <w:t xml:space="preserve">$60,000</w:t>
            </w:r>
          </w:p>
        </w:tc>
        <w:tc>
          <w:tcPr/>
          <w:p>
            <w:pPr>
              <w:pStyle w:val="Compact"/>
              <w:jc w:val="left"/>
            </w:pPr>
            <w:r>
              <w:t xml:space="preserve">Tanzania country manager, backend engineer, data scientist</w:t>
            </w:r>
          </w:p>
        </w:tc>
      </w:tr>
      <w:tr>
        <w:tc>
          <w:tcPr/>
          <w:p>
            <w:pPr>
              <w:pStyle w:val="Compact"/>
              <w:jc w:val="left"/>
            </w:pPr>
            <w:r>
              <w:t xml:space="preserve">Operations &amp; Infrastructure</w:t>
            </w:r>
          </w:p>
        </w:tc>
        <w:tc>
          <w:tcPr/>
          <w:p>
            <w:pPr>
              <w:pStyle w:val="Compact"/>
              <w:jc w:val="left"/>
            </w:pPr>
            <w:r>
              <w:t xml:space="preserve">$40,000</w:t>
            </w:r>
          </w:p>
        </w:tc>
        <w:tc>
          <w:tcPr/>
          <w:p>
            <w:pPr>
              <w:pStyle w:val="Compact"/>
              <w:jc w:val="left"/>
            </w:pPr>
            <w:r>
              <w:t xml:space="preserve">M-Pesa/Vodacom API integration, cloud hosting, security audits</w:t>
            </w:r>
          </w:p>
        </w:tc>
      </w:tr>
      <w:tr>
        <w:tc>
          <w:tcPr/>
          <w:p>
            <w:pPr>
              <w:pStyle w:val="Compact"/>
              <w:jc w:val="left"/>
            </w:pPr>
            <w:r>
              <w:rPr>
                <w:b/>
                <w:bCs/>
              </w:rPr>
              <w:t xml:space="preserve">Total</w:t>
            </w:r>
          </w:p>
        </w:tc>
        <w:tc>
          <w:tcPr/>
          <w:p>
            <w:pPr>
              <w:pStyle w:val="Compact"/>
              <w:jc w:val="left"/>
            </w:pPr>
            <w:r>
              <w:rPr>
                <w:b/>
                <w:bCs/>
              </w:rPr>
              <w:t xml:space="preserve">$350,000</w:t>
            </w:r>
          </w:p>
        </w:tc>
        <w:tc>
          <w:tcPr/>
          <w:p>
            <w:pPr>
              <w:pStyle w:val="Compact"/>
            </w:pPr>
          </w:p>
        </w:tc>
      </w:tr>
    </w:tbl>
    <w:p>
      <w:r>
        <w:pict>
          <v:rect style="width:0;height:1.5pt" o:hralign="center" o:hrstd="t" o:hr="t"/>
        </w:pict>
      </w:r>
    </w:p>
    <w:bookmarkEnd w:id="26"/>
    <w:bookmarkEnd w:id="27"/>
    <w:bookmarkStart w:id="34" w:name="the-problem-africas-informal-economy-gap"/>
    <w:p>
      <w:pPr>
        <w:pStyle w:val="2"/>
      </w:pPr>
      <w:r>
        <w:t xml:space="preserve">2. THE PROBLEM: AFRICA’S INFORMAL ECONOMY GAP</w:t>
      </w:r>
    </w:p>
    <w:bookmarkStart w:id="28" w:name="the-scale-of-informal-economic-activity"/>
    <w:p>
      <w:pPr>
        <w:pStyle w:val="3"/>
      </w:pPr>
      <w:r>
        <w:t xml:space="preserve">2.1 The Scale of Informal Economic Activity</w:t>
      </w:r>
    </w:p>
    <w:p>
      <w:pPr>
        <w:pStyle w:val="FirstParagraph"/>
      </w:pPr>
      <w:r>
        <w:t xml:space="preserve">The informal economy is not a marginal phenomenon in Africa — it is the</w:t>
      </w:r>
      <w:r>
        <w:t xml:space="preserve"> </w:t>
      </w:r>
      <w:r>
        <w:rPr>
          <w:b/>
          <w:bCs/>
        </w:rPr>
        <w:t xml:space="preserve">dominant mode of economic organization</w:t>
      </w:r>
      <w:r>
        <w:t xml:space="preserve">. Across Sub-Saharan Africa, the informal sector accounts for</w:t>
      </w:r>
      <w:r>
        <w:t xml:space="preserve"> </w:t>
      </w:r>
      <w:r>
        <w:rPr>
          <w:b/>
          <w:bCs/>
        </w:rPr>
        <w:t xml:space="preserve">approximately 85.8% of total employment</w:t>
      </w:r>
      <w:r>
        <w:t xml:space="preserve"> </w:t>
      </w:r>
      <w:r>
        <w:t xml:space="preserve">(ILO 2018 estimates), with particularly high concentrations in East Africa: Tanzania (83.4%), Kenya (83.3%), Uganda (93.5%), and Rwanda (88.0%). These workers — market vendors, motorcycle taxi drivers, construction laborers, small-scale farmers, domestic workers, artisans, and traders — constitute the economic backbone of their nations, yet remain structurally invisible to formal financial systems.</w:t>
      </w:r>
    </w:p>
    <w:p>
      <w:pPr>
        <w:pStyle w:val="a0"/>
      </w:pPr>
      <w:r>
        <w:t xml:space="preserve">The economic contribution of informal activity is equally substantial. The African Development Bank estimates that the informal economy generates</w:t>
      </w:r>
      <w:r>
        <w:t xml:space="preserve"> </w:t>
      </w:r>
      <w:r>
        <w:rPr>
          <w:b/>
          <w:bCs/>
        </w:rPr>
        <w:t xml:space="preserve">between $0.8 and $2.6 trillion annually</w:t>
      </w:r>
      <w:r>
        <w:t xml:space="preserve"> </w:t>
      </w:r>
      <w:r>
        <w:t xml:space="preserve">across the continent, representing 30-60% of non-agricultural GDP in most countries. In Tanzania specifically, informal sector activities contribute an estimated</w:t>
      </w:r>
      <w:r>
        <w:t xml:space="preserve"> </w:t>
      </w:r>
      <w:r>
        <w:rPr>
          <w:b/>
          <w:bCs/>
        </w:rPr>
        <w:t xml:space="preserve">35-50% of total GDP</w:t>
      </w:r>
      <w:r>
        <w:t xml:space="preserve"> </w:t>
      </w:r>
      <w:r>
        <w:t xml:space="preserve">and employ over</w:t>
      </w:r>
      <w:r>
        <w:t xml:space="preserve"> </w:t>
      </w:r>
      <w:r>
        <w:rPr>
          <w:b/>
          <w:bCs/>
        </w:rPr>
        <w:t xml:space="preserve">14 million people</w:t>
      </w:r>
      <w:r>
        <w:t xml:space="preserve"> </w:t>
      </w:r>
      <w:r>
        <w:t xml:space="preserve">— more than five times the number employed in the formal sector.</w:t>
      </w:r>
    </w:p>
    <w:p>
      <w:pPr>
        <w:pStyle w:val="a0"/>
      </w:pPr>
      <w:r>
        <w:t xml:space="preserve">Despite this massive economic footprint, the informal economy operates as a</w:t>
      </w:r>
      <w:r>
        <w:t xml:space="preserve"> </w:t>
      </w:r>
      <w:r>
        <w:rPr>
          <w:b/>
          <w:bCs/>
        </w:rPr>
        <w:t xml:space="preserve">parallel financial universe</w:t>
      </w:r>
      <w:r>
        <w:t xml:space="preserve"> </w:t>
      </w:r>
      <w:r>
        <w:t xml:space="preserve">— one with its own credit mechanisms (ROSCAs, informal moneylenders, supplier credit), savings vehicles (cash under mattresses, livestock, gold jewelry), risk management strategies (social networks, family support systems), and commercial relationships (word-of-mouth marketing, cash-only transactions). The critical deficiency is not economic activity but</w:t>
      </w:r>
      <w:r>
        <w:t xml:space="preserve"> </w:t>
      </w:r>
      <w:r>
        <w:rPr>
          <w:b/>
          <w:bCs/>
        </w:rPr>
        <w:t xml:space="preserve">economic infrastructure</w:t>
      </w:r>
      <w:r>
        <w:t xml:space="preserve">: the formal tools, standards, and institutions that convert economic activity into wealth accumulation, risk mitigation, and intergenerational mobility.</w:t>
      </w:r>
    </w:p>
    <w:bookmarkEnd w:id="28"/>
    <w:bookmarkStart w:id="29" w:name="Xab1b337dea1ddda46f9c2a4ee7f560db27d24c0"/>
    <w:p>
      <w:pPr>
        <w:pStyle w:val="3"/>
      </w:pPr>
      <w:r>
        <w:t xml:space="preserve">2.2 The Mobile Money Revolution and Its Limits</w:t>
      </w:r>
    </w:p>
    <w:p>
      <w:pPr>
        <w:pStyle w:val="FirstParagraph"/>
      </w:pPr>
      <w:r>
        <w:t xml:space="preserve">The launch of M-Pesa in Kenya in 2007 represented a paradigm shift in African financial services. Within a decade, mobile money had achieved what decades of banking sector reform could not:</w:t>
      </w:r>
      <w:r>
        <w:t xml:space="preserve"> </w:t>
      </w:r>
      <w:r>
        <w:rPr>
          <w:b/>
          <w:bCs/>
        </w:rPr>
        <w:t xml:space="preserve">near-universal financial transaction access</w:t>
      </w:r>
      <w:r>
        <w:t xml:space="preserve">. Kenya’s financial inclusion rate reached 83% by 2021, driven almost entirely by mobile money adoption. Tanzania followed a similar trajectory, with mobile money penetration exceeding 75% of the adult population by 2023, led by Vodacom M-Pesa, Airtel Money, Tigo Pesa, and HaloPesa.</w:t>
      </w:r>
    </w:p>
    <w:p>
      <w:pPr>
        <w:pStyle w:val="a0"/>
      </w:pPr>
      <w:r>
        <w:t xml:space="preserve">Yet this revolution solved only the</w:t>
      </w:r>
      <w:r>
        <w:t xml:space="preserve"> </w:t>
      </w:r>
      <w:r>
        <w:rPr>
          <w:b/>
          <w:bCs/>
        </w:rPr>
        <w:t xml:space="preserve">first layer</w:t>
      </w:r>
      <w:r>
        <w:t xml:space="preserve"> </w:t>
      </w:r>
      <w:r>
        <w:t xml:space="preserve">of the financial services stack — payments and transfers. The deeper layers — credit, savings, insurance, and investment — remained largely unaddressed. The reason is structural: mobile money platforms are designed as</w:t>
      </w:r>
      <w:r>
        <w:t xml:space="preserve"> </w:t>
      </w:r>
      <w:r>
        <w:rPr>
          <w:b/>
          <w:bCs/>
        </w:rPr>
        <w:t xml:space="preserve">payment rails</w:t>
      </w:r>
      <w:r>
        <w:t xml:space="preserve">, not</w:t>
      </w:r>
      <w:r>
        <w:t xml:space="preserve"> </w:t>
      </w:r>
      <w:r>
        <w:rPr>
          <w:b/>
          <w:bCs/>
        </w:rPr>
        <w:t xml:space="preserve">credit infrastructure</w:t>
      </w:r>
      <w:r>
        <w:t xml:space="preserve">. They excel at moving money from point A to point B but lack the analytical frameworks, risk assessment tools, and regulatory architectures needed to evaluate creditworthiness, manage loan portfolios, or price insurance products.</w:t>
      </w:r>
    </w:p>
    <w:p>
      <w:pPr>
        <w:pStyle w:val="a0"/>
      </w:pPr>
      <w:r>
        <w:t xml:space="preserve">The result is what economists call the</w:t>
      </w:r>
      <w:r>
        <w:t xml:space="preserve"> </w:t>
      </w:r>
      <w:r>
        <w:rPr>
          <w:b/>
          <w:bCs/>
        </w:rPr>
        <w:t xml:space="preserve">“</w:t>
      </w:r>
      <w:r>
        <w:rPr>
          <w:b/>
          <w:bCs/>
        </w:rPr>
        <w:t xml:space="preserve">mobile money paradox</w:t>
      </w:r>
      <w:r>
        <w:rPr>
          <w:b/>
          <w:bCs/>
        </w:rPr>
        <w:t xml:space="preserve">”</w:t>
      </w:r>
      <w:r>
        <w:t xml:space="preserve">: a population with near-universal payment access but near-zero credit access. In Kenya, despite 96% mobile money penetration, only</w:t>
      </w:r>
      <w:r>
        <w:t xml:space="preserve"> </w:t>
      </w:r>
      <w:r>
        <w:rPr>
          <w:b/>
          <w:bCs/>
        </w:rPr>
        <w:t xml:space="preserve">8.3%</w:t>
      </w:r>
      <w:r>
        <w:t xml:space="preserve"> </w:t>
      </w:r>
      <w:r>
        <w:t xml:space="preserve">of adults had borrowed from a formal financial institution in the past year (Global Findex 2021). In Tanzania, the figure was</w:t>
      </w:r>
      <w:r>
        <w:t xml:space="preserve"> </w:t>
      </w:r>
      <w:r>
        <w:rPr>
          <w:b/>
          <w:bCs/>
        </w:rPr>
        <w:t xml:space="preserve">6.7%</w:t>
      </w:r>
      <w:r>
        <w:t xml:space="preserve">. The gap between</w:t>
      </w:r>
      <w:r>
        <w:t xml:space="preserve"> </w:t>
      </w:r>
      <w:r>
        <w:t xml:space="preserve">“</w:t>
      </w:r>
      <w:r>
        <w:t xml:space="preserve">financially included</w:t>
      </w:r>
      <w:r>
        <w:t xml:space="preserve">”</w:t>
      </w:r>
      <w:r>
        <w:t xml:space="preserve"> </w:t>
      </w:r>
      <w:r>
        <w:t xml:space="preserve">(has a transaction account) and</w:t>
      </w:r>
      <w:r>
        <w:t xml:space="preserve"> </w:t>
      </w:r>
      <w:r>
        <w:t xml:space="preserve">“</w:t>
      </w:r>
      <w:r>
        <w:t xml:space="preserve">credit included</w:t>
      </w:r>
      <w:r>
        <w:t xml:space="preserve">”</w:t>
      </w:r>
      <w:r>
        <w:t xml:space="preserve"> </w:t>
      </w:r>
      <w:r>
        <w:t xml:space="preserve">(can access formal credit) represents the single largest unserved market in African fintech.</w:t>
      </w:r>
    </w:p>
    <w:bookmarkEnd w:id="29"/>
    <w:bookmarkStart w:id="30" w:name="Xdd865541b4f04007c23b5a46b804900b92e995a"/>
    <w:p>
      <w:pPr>
        <w:pStyle w:val="3"/>
      </w:pPr>
      <w:r>
        <w:t xml:space="preserve">2.3 Why Traditional Credit Scoring Fails in Africa</w:t>
      </w:r>
    </w:p>
    <w:p>
      <w:pPr>
        <w:pStyle w:val="FirstParagraph"/>
      </w:pPr>
      <w:r>
        <w:t xml:space="preserve">The failure of traditional credit scoring in African informal economies is not a matter of algorithmic sophistication but of</w:t>
      </w:r>
      <w:r>
        <w:t xml:space="preserve"> </w:t>
      </w:r>
      <w:r>
        <w:rPr>
          <w:b/>
          <w:bCs/>
        </w:rPr>
        <w:t xml:space="preserve">data availability and structural mismatch</w:t>
      </w:r>
      <w:r>
        <w:t xml:space="preserve">. The FICO Score — the dominant credit scoring model in the United States — relies on five core inputs: payment history (35%), amounts owed (30%), length of credit history (15%), new credit (10%), and credit mix (10%). These inputs presuppose the existence of formal credit relationships: credit cards, auto loans, mortgages, and installment loans that generate the data trail the FICO algorithm requires.</w:t>
      </w:r>
    </w:p>
    <w:p>
      <w:pPr>
        <w:pStyle w:val="a0"/>
      </w:pPr>
      <w:r>
        <w:t xml:space="preserve">In East Africa, this data trail simply does not exist for the vast majority of the population. The region’s credit reference bureaus — TransUnion CRB in Kenya, CreditInfo in Tanzania, and their counterparts in Uganda and Rwanda — primarily capture data from formal financial institutions: commercial banks, microfinance institutions, and licensed digital credit providers. Informal savings groups, marketplace transactions, gig work income, and insurance payments remain entirely outside the CRB data ecosystem. The result is that a market vendor in Dar es Salaam who has saved diligently in her chama for five years, maintained perfect informal loan repayment, and generated consistent sales revenue has a</w:t>
      </w:r>
      <w:r>
        <w:t xml:space="preserve"> </w:t>
      </w:r>
      <w:r>
        <w:rPr>
          <w:b/>
          <w:bCs/>
        </w:rPr>
        <w:t xml:space="preserve">credit bureau score of zero</w:t>
      </w:r>
      <w:r>
        <w:t xml:space="preserve"> </w:t>
      </w:r>
      <w:r>
        <w:t xml:space="preserve">— identical to someone who has never engaged in any financial activity.</w:t>
      </w:r>
    </w:p>
    <w:p>
      <w:pPr>
        <w:pStyle w:val="a0"/>
      </w:pPr>
      <w:r>
        <w:t xml:space="preserve">This structural mismatch has profound economic consequences. Without credit scores, informal workers cannot access:</w:t>
      </w:r>
      <w:r>
        <w:t xml:space="preserve"> </w:t>
      </w:r>
      <w:r>
        <w:t xml:space="preserve">-</w:t>
      </w:r>
      <w:r>
        <w:t xml:space="preserve"> </w:t>
      </w:r>
      <w:r>
        <w:rPr>
          <w:b/>
          <w:bCs/>
        </w:rPr>
        <w:t xml:space="preserve">Working capital loans</w:t>
      </w:r>
      <w:r>
        <w:t xml:space="preserve"> </w:t>
      </w:r>
      <w:r>
        <w:t xml:space="preserve">to purchase inventory or expand operations</w:t>
      </w:r>
      <w:r>
        <w:t xml:space="preserve"> </w:t>
      </w:r>
      <w:r>
        <w:t xml:space="preserve">-</w:t>
      </w:r>
      <w:r>
        <w:t xml:space="preserve"> </w:t>
      </w:r>
      <w:r>
        <w:rPr>
          <w:b/>
          <w:bCs/>
        </w:rPr>
        <w:t xml:space="preserve">Equipment financing</w:t>
      </w:r>
      <w:r>
        <w:t xml:space="preserve"> </w:t>
      </w:r>
      <w:r>
        <w:t xml:space="preserve">to invest in productivity-enhancing tools</w:t>
      </w:r>
      <w:r>
        <w:t xml:space="preserve"> </w:t>
      </w:r>
      <w:r>
        <w:t xml:space="preserve">-</w:t>
      </w:r>
      <w:r>
        <w:t xml:space="preserve"> </w:t>
      </w:r>
      <w:r>
        <w:rPr>
          <w:b/>
          <w:bCs/>
        </w:rPr>
        <w:t xml:space="preserve">Emergency credit</w:t>
      </w:r>
      <w:r>
        <w:t xml:space="preserve"> </w:t>
      </w:r>
      <w:r>
        <w:t xml:space="preserve">to manage health crises, crop failures, or family emergencies</w:t>
      </w:r>
      <w:r>
        <w:t xml:space="preserve"> </w:t>
      </w:r>
      <w:r>
        <w:t xml:space="preserve">-</w:t>
      </w:r>
      <w:r>
        <w:t xml:space="preserve"> </w:t>
      </w:r>
      <w:r>
        <w:rPr>
          <w:b/>
          <w:bCs/>
        </w:rPr>
        <w:t xml:space="preserve">Housing finance</w:t>
      </w:r>
      <w:r>
        <w:t xml:space="preserve"> </w:t>
      </w:r>
      <w:r>
        <w:t xml:space="preserve">to improve living conditions</w:t>
      </w:r>
      <w:r>
        <w:t xml:space="preserve"> </w:t>
      </w:r>
      <w:r>
        <w:t xml:space="preserve">-</w:t>
      </w:r>
      <w:r>
        <w:t xml:space="preserve"> </w:t>
      </w:r>
      <w:r>
        <w:rPr>
          <w:b/>
          <w:bCs/>
        </w:rPr>
        <w:t xml:space="preserve">Education loans</w:t>
      </w:r>
      <w:r>
        <w:t xml:space="preserve"> </w:t>
      </w:r>
      <w:r>
        <w:t xml:space="preserve">to invest in children’s schooling</w:t>
      </w:r>
    </w:p>
    <w:p>
      <w:pPr>
        <w:pStyle w:val="a0"/>
      </w:pPr>
      <w:r>
        <w:t xml:space="preserve">The absence of credit infrastructure forces informal economy participants into expensive alternatives: informal moneylenders charging</w:t>
      </w:r>
      <w:r>
        <w:t xml:space="preserve"> </w:t>
      </w:r>
      <w:r>
        <w:rPr>
          <w:b/>
          <w:bCs/>
        </w:rPr>
        <w:t xml:space="preserve">monthly interest rates of 10-30%</w:t>
      </w:r>
      <w:r>
        <w:t xml:space="preserve"> </w:t>
      </w:r>
      <w:r>
        <w:t xml:space="preserve">(equivalent to 214-2,230% APR), supplier credit with punitive terms, and asset sales at distressed prices. The World Bank estimates that the</w:t>
      </w:r>
      <w:r>
        <w:t xml:space="preserve"> </w:t>
      </w:r>
      <w:r>
        <w:rPr>
          <w:b/>
          <w:bCs/>
        </w:rPr>
        <w:t xml:space="preserve">cost of financial exclusion</w:t>
      </w:r>
      <w:r>
        <w:t xml:space="preserve"> </w:t>
      </w:r>
      <w:r>
        <w:t xml:space="preserve">— the excess interest, lost opportunities, and risk exposure borne by the unbanked — exceeds</w:t>
      </w:r>
      <w:r>
        <w:t xml:space="preserve"> </w:t>
      </w:r>
      <w:r>
        <w:rPr>
          <w:b/>
          <w:bCs/>
        </w:rPr>
        <w:t xml:space="preserve">$100 billion annually</w:t>
      </w:r>
      <w:r>
        <w:t xml:space="preserve"> </w:t>
      </w:r>
      <w:r>
        <w:t xml:space="preserve">in Sub-Saharan Africa alone.</w:t>
      </w:r>
    </w:p>
    <w:bookmarkEnd w:id="30"/>
    <w:bookmarkStart w:id="31" w:name="the-alternative-data-opportunity"/>
    <w:p>
      <w:pPr>
        <w:pStyle w:val="3"/>
      </w:pPr>
      <w:r>
        <w:t xml:space="preserve">2.4 The Alternative Data Opportunity</w:t>
      </w:r>
    </w:p>
    <w:p>
      <w:pPr>
        <w:pStyle w:val="FirstParagraph"/>
      </w:pPr>
      <w:r>
        <w:t xml:space="preserve">The mobile money revolution, while incomplete, created a critical enabling condition:</w:t>
      </w:r>
      <w:r>
        <w:t xml:space="preserve"> </w:t>
      </w:r>
      <w:r>
        <w:rPr>
          <w:b/>
          <w:bCs/>
        </w:rPr>
        <w:t xml:space="preserve">a digital behavioral data trail</w:t>
      </w:r>
      <w:r>
        <w:t xml:space="preserve"> </w:t>
      </w:r>
      <w:r>
        <w:t xml:space="preserve">for populations that previously left no formal financial footprint. Every M-Pesa transaction, every marketplace sale, every chama contribution, every gig completion, and every insurance premium payment generates data that — if properly structured and analyzed — can serve as a proxy for traditional credit signals.</w:t>
      </w:r>
    </w:p>
    <w:p>
      <w:pPr>
        <w:pStyle w:val="a0"/>
      </w:pPr>
      <w:r>
        <w:t xml:space="preserve">The academic literature on alternative credit scoring has demonstrated the predictive power of these non-traditional data sources across multiple contexts:</w:t>
      </w:r>
    </w:p>
    <w:p>
      <w:pPr>
        <w:pStyle w:val="a0"/>
      </w:pPr>
      <w:r>
        <w:rPr>
          <w:b/>
          <w:bCs/>
        </w:rPr>
        <w:t xml:space="preserve">Mobile Money Data:</w:t>
      </w:r>
      <w:r>
        <w:t xml:space="preserve"> </w:t>
      </w:r>
      <w:r>
        <w:t xml:space="preserve">Multiple studies have shown that mobile money transaction patterns — frequency, volume, regularity, counterparty diversity, and balance management — carry significant predictive signal for credit default. A study by the Gates Foundation and CGAP found that mobile money usage patterns could predict loan default with</w:t>
      </w:r>
      <w:r>
        <w:t xml:space="preserve"> </w:t>
      </w:r>
      <w:r>
        <w:rPr>
          <w:b/>
          <w:bCs/>
        </w:rPr>
        <w:t xml:space="preserve">70-80% accuracy</w:t>
      </w:r>
      <w:r>
        <w:t xml:space="preserve"> </w:t>
      </w:r>
      <w:r>
        <w:t xml:space="preserve">in East African microfinance portfolios. The PMC study (2024) on alternative data for credit scoring reported that models incorporating mobile money and alternative features achieved an</w:t>
      </w:r>
      <w:r>
        <w:t xml:space="preserve"> </w:t>
      </w:r>
      <w:r>
        <w:rPr>
          <w:b/>
          <w:bCs/>
        </w:rPr>
        <w:t xml:space="preserve">AUC of 0.7936</w:t>
      </w:r>
      <w:r>
        <w:t xml:space="preserve"> </w:t>
      </w:r>
      <w:r>
        <w:t xml:space="preserve">with LightGBM, significantly outperforming traditional-variable-only models (AUC 0.7450).</w:t>
      </w:r>
    </w:p>
    <w:p>
      <w:pPr>
        <w:pStyle w:val="a0"/>
      </w:pPr>
      <w:r>
        <w:rPr>
          <w:b/>
          <w:bCs/>
        </w:rPr>
        <w:t xml:space="preserve">ROSCA (Chama) Participation:</w:t>
      </w:r>
      <w:r>
        <w:t xml:space="preserve"> </w:t>
      </w:r>
      <w:r>
        <w:t xml:space="preserve">The economic literature on rotating savings and credit associations provides strong theoretical and empirical support for the credit-relevance of chama behavior. Besley, Coate, and Loury’s seminal work established that ROSCAs function as implicit credit markets with endogenous screening, where contribution consistency, group tenure, and social standing reveal private information about members’ creditworthiness. A comprehensive scoping review of 96 studies (2024) confirmed that ROSCA participation correlates with improved financial asset accumulation, better money management practices, and enhanced social capital — all factors predictive of loan repayment behavior.</w:t>
      </w:r>
    </w:p>
    <w:p>
      <w:pPr>
        <w:pStyle w:val="a0"/>
      </w:pPr>
      <w:r>
        <w:rPr>
          <w:b/>
          <w:bCs/>
        </w:rPr>
        <w:t xml:space="preserve">Marketplace Sales Data:</w:t>
      </w:r>
      <w:r>
        <w:t xml:space="preserve"> </w:t>
      </w:r>
      <w:r>
        <w:t xml:space="preserve">E-commerce and marketplace transaction data have emerged as powerful credit signals in developing economies. Studies from India (Flipkart Pay Later), China (Ant Financial), and Nigeria (Paystack) have demonstrated that sales volume, customer ratings, order fulfillment rates, and inventory turnover patterns can predict business loan default with accuracy comparable to traditional financial statements. The key insight is that</w:t>
      </w:r>
      <w:r>
        <w:t xml:space="preserve"> </w:t>
      </w:r>
      <w:r>
        <w:rPr>
          <w:b/>
          <w:bCs/>
        </w:rPr>
        <w:t xml:space="preserve">business performance data</w:t>
      </w:r>
      <w:r>
        <w:t xml:space="preserve"> </w:t>
      </w:r>
      <w:r>
        <w:t xml:space="preserve">— when systematically captured — serves as a real-time, high-frequency alternative to audited financial statements.</w:t>
      </w:r>
    </w:p>
    <w:p>
      <w:pPr>
        <w:pStyle w:val="a0"/>
      </w:pPr>
      <w:r>
        <w:rPr>
          <w:b/>
          <w:bCs/>
        </w:rPr>
        <w:t xml:space="preserve">Gig Work and Insurance Data:</w:t>
      </w:r>
      <w:r>
        <w:t xml:space="preserve"> </w:t>
      </w:r>
      <w:r>
        <w:t xml:space="preserve">Emerging research on the</w:t>
      </w:r>
      <w:r>
        <w:t xml:space="preserve"> </w:t>
      </w:r>
      <w:r>
        <w:t xml:space="preserve">“</w:t>
      </w:r>
      <w:r>
        <w:t xml:space="preserve">gig economy</w:t>
      </w:r>
      <w:r>
        <w:t xml:space="preserve">”</w:t>
      </w:r>
      <w:r>
        <w:t xml:space="preserve"> </w:t>
      </w:r>
      <w:r>
        <w:t xml:space="preserve">in developing countries suggests that gig completion rates, employer ratings, income stability, and skill diversity carry credit-relevant signal. Similarly, insurance premium payment consistency has been shown to predict both risk aversion (a protective factor against default) and financial discipline.</w:t>
      </w:r>
    </w:p>
    <w:p>
      <w:pPr>
        <w:pStyle w:val="a0"/>
      </w:pPr>
      <w:r>
        <w:t xml:space="preserve">The critical gap in the existing literature — and the core innovation of the TWENDE Trust Engine — is that no prior system has</w:t>
      </w:r>
      <w:r>
        <w:t xml:space="preserve"> </w:t>
      </w:r>
      <w:r>
        <w:rPr>
          <w:b/>
          <w:bCs/>
        </w:rPr>
        <w:t xml:space="preserve">integrated all these signal sources into a unified scoring framework</w:t>
      </w:r>
      <w:r>
        <w:t xml:space="preserve">. Existing alternative credit scoring models typically rely on single-source data (mobile money transactions OR telecom usage OR social media activity) without synthesizing the multidimensional behavioral signals that characterize informal economic life. The Trust Engine addresses this gap by treating chama savings, mobile money patterns, marketplace sales, loan repayments, gig work, insurance payments, and identity verification as</w:t>
      </w:r>
      <w:r>
        <w:t xml:space="preserve"> </w:t>
      </w:r>
      <w:r>
        <w:rPr>
          <w:b/>
          <w:bCs/>
        </w:rPr>
        <w:t xml:space="preserve">complementary signal sources</w:t>
      </w:r>
      <w:r>
        <w:t xml:space="preserve"> </w:t>
      </w:r>
      <w:r>
        <w:t xml:space="preserve">that together create a holistic credit assessment.</w:t>
      </w:r>
    </w:p>
    <w:bookmarkEnd w:id="31"/>
    <w:bookmarkStart w:id="32" w:name="the-gender-dimension"/>
    <w:p>
      <w:pPr>
        <w:pStyle w:val="3"/>
      </w:pPr>
      <w:r>
        <w:t xml:space="preserve">2.5 The Gender Dimension</w:t>
      </w:r>
    </w:p>
    <w:p>
      <w:pPr>
        <w:pStyle w:val="FirstParagraph"/>
      </w:pPr>
      <w:r>
        <w:t xml:space="preserve">Financial exclusion disproportionately affects women. Globally,</w:t>
      </w:r>
      <w:r>
        <w:t xml:space="preserve"> </w:t>
      </w:r>
      <w:r>
        <w:rPr>
          <w:b/>
          <w:bCs/>
        </w:rPr>
        <w:t xml:space="preserve">74% of men</w:t>
      </w:r>
      <w:r>
        <w:t xml:space="preserve"> </w:t>
      </w:r>
      <w:r>
        <w:t xml:space="preserve">have a bank account compared to</w:t>
      </w:r>
      <w:r>
        <w:t xml:space="preserve"> </w:t>
      </w:r>
      <w:r>
        <w:rPr>
          <w:b/>
          <w:bCs/>
        </w:rPr>
        <w:t xml:space="preserve">68% of women</w:t>
      </w:r>
      <w:r>
        <w:t xml:space="preserve"> </w:t>
      </w:r>
      <w:r>
        <w:t xml:space="preserve">— a 6-percentage-point gender gap that widens to</w:t>
      </w:r>
      <w:r>
        <w:t xml:space="preserve"> </w:t>
      </w:r>
      <w:r>
        <w:rPr>
          <w:b/>
          <w:bCs/>
        </w:rPr>
        <w:t xml:space="preserve">12 percentage points</w:t>
      </w:r>
      <w:r>
        <w:t xml:space="preserve"> </w:t>
      </w:r>
      <w:r>
        <w:t xml:space="preserve">in South Asia and</w:t>
      </w:r>
      <w:r>
        <w:t xml:space="preserve"> </w:t>
      </w:r>
      <w:r>
        <w:rPr>
          <w:b/>
          <w:bCs/>
        </w:rPr>
        <w:t xml:space="preserve">9 percentage points</w:t>
      </w:r>
      <w:r>
        <w:t xml:space="preserve"> </w:t>
      </w:r>
      <w:r>
        <w:t xml:space="preserve">in Sub-Saharan Africa (World Bank Global Findex 2021). In Tanzania, the gap is particularly pronounced in rural areas, where cultural barriers, lower literacy rates, and limited mobility constrain women’s access to formal financial services.</w:t>
      </w:r>
    </w:p>
    <w:p>
      <w:pPr>
        <w:pStyle w:val="a0"/>
      </w:pPr>
      <w:r>
        <w:t xml:space="preserve">The gender dimension is not merely a social equity concern; it is an economic efficiency problem. The IFC estimates that closing the gender gap in access to credit could unlock</w:t>
      </w:r>
      <w:r>
        <w:t xml:space="preserve"> </w:t>
      </w:r>
      <w:r>
        <w:rPr>
          <w:b/>
          <w:bCs/>
        </w:rPr>
        <w:t xml:space="preserve">$1.7 trillion in additional lending</w:t>
      </w:r>
      <w:r>
        <w:t xml:space="preserve"> </w:t>
      </w:r>
      <w:r>
        <w:t xml:space="preserve">globally, with Africa representing the largest untapped opportunity. Women-led businesses — which constitute approximately</w:t>
      </w:r>
      <w:r>
        <w:t xml:space="preserve"> </w:t>
      </w:r>
      <w:r>
        <w:rPr>
          <w:b/>
          <w:bCs/>
        </w:rPr>
        <w:t xml:space="preserve">40% of MSMEs</w:t>
      </w:r>
      <w:r>
        <w:t xml:space="preserve"> </w:t>
      </w:r>
      <w:r>
        <w:t xml:space="preserve">in Sub-Saharan Africa — face a financing gap estimated at</w:t>
      </w:r>
      <w:r>
        <w:t xml:space="preserve"> </w:t>
      </w:r>
      <w:r>
        <w:rPr>
          <w:b/>
          <w:bCs/>
        </w:rPr>
        <w:t xml:space="preserve">$42 billion</w:t>
      </w:r>
      <w:r>
        <w:t xml:space="preserve"> </w:t>
      </w:r>
      <w:r>
        <w:t xml:space="preserve">annually.</w:t>
      </w:r>
    </w:p>
    <w:p>
      <w:pPr>
        <w:pStyle w:val="a0"/>
      </w:pPr>
      <w:r>
        <w:t xml:space="preserve">TWENDE’s chama-first acquisition strategy directly addresses the gender dimension. Chama (ROSCA) groups in East Africa are</w:t>
      </w:r>
      <w:r>
        <w:t xml:space="preserve"> </w:t>
      </w:r>
      <w:r>
        <w:rPr>
          <w:b/>
          <w:bCs/>
        </w:rPr>
        <w:t xml:space="preserve">70-80% female</w:t>
      </w:r>
      <w:r>
        <w:t xml:space="preserve">, reflecting women’s historical exclusion from formal banking and their reliance on collective savings mechanisms. By building credit scoring around chama participation — the financial activity most accessible to women — TWENDE creates a natural on-ramp for female users who would otherwise remain invisible to formal credit systems. The Trust Engine’s explicit fairness constraints, which exclude gender as a scoring variable and monitor for demographic disparities, ensure that the system does not replicate the very exclusions it seeks to address.</w:t>
      </w:r>
    </w:p>
    <w:bookmarkEnd w:id="32"/>
    <w:bookmarkStart w:id="33" w:name="X8b362e83214a69b68d7fd1baa553230bce54a79"/>
    <w:p>
      <w:pPr>
        <w:pStyle w:val="3"/>
      </w:pPr>
      <w:r>
        <w:t xml:space="preserve">2.6 Why Now: The Convergence of Enabling Conditions</w:t>
      </w:r>
    </w:p>
    <w:p>
      <w:pPr>
        <w:pStyle w:val="FirstParagraph"/>
      </w:pPr>
      <w:r>
        <w:t xml:space="preserve">The TWENDE Platform is viable today because of a</w:t>
      </w:r>
      <w:r>
        <w:t xml:space="preserve"> </w:t>
      </w:r>
      <w:r>
        <w:rPr>
          <w:b/>
          <w:bCs/>
        </w:rPr>
        <w:t xml:space="preserve">convergence of enabling conditions</w:t>
      </w:r>
      <w:r>
        <w:t xml:space="preserve"> </w:t>
      </w:r>
      <w:r>
        <w:t xml:space="preserve">that did not exist even five years ago:</w:t>
      </w:r>
    </w:p>
    <w:p>
      <w:pPr>
        <w:pStyle w:val="a0"/>
      </w:pPr>
      <w:r>
        <w:rPr>
          <w:b/>
          <w:bCs/>
        </w:rPr>
        <w:t xml:space="preserve">Mobile Money Maturity:</w:t>
      </w:r>
      <w:r>
        <w:t xml:space="preserve"> </w:t>
      </w:r>
      <w:r>
        <w:t xml:space="preserve">M-Pesa, Vodacom M-Pesa, and their equivalents have achieved sufficient scale, API accessibility, and regulatory clarity to serve as production-grade payment rails for third-party financial services. The Daraja API (Safaricom) and equivalent APIs from Vodacom, Airtel, and Tigo provide programmatic access to STK Push, B2C transfers, C2B callbacks, and balance queries — the building blocks of integrated fintech platforms.</w:t>
      </w:r>
    </w:p>
    <w:p>
      <w:pPr>
        <w:pStyle w:val="a0"/>
      </w:pPr>
      <w:r>
        <w:rPr>
          <w:b/>
          <w:bCs/>
        </w:rPr>
        <w:t xml:space="preserve">Regulatory Clarity:</w:t>
      </w:r>
      <w:r>
        <w:t xml:space="preserve"> </w:t>
      </w:r>
      <w:r>
        <w:t xml:space="preserve">Kenya’s Digital Credit Provider (DCP) licensing framework (2022), Tanzania’s National Payment Systems Act amendments (2023), and Rwanda’s National Bank guidelines on digital financial services have created clear regulatory pathways for alternative credit scoring and digital lending. Regulators are increasingly receptive to innovation that demonstrably improves financial inclusion, provided it meets consumer protection, data privacy, and fair lending standards.</w:t>
      </w:r>
    </w:p>
    <w:p>
      <w:pPr>
        <w:pStyle w:val="a0"/>
      </w:pPr>
      <w:r>
        <w:rPr>
          <w:b/>
          <w:bCs/>
        </w:rPr>
        <w:t xml:space="preserve">Cloud Infrastructure Affordability:</w:t>
      </w:r>
      <w:r>
        <w:t xml:space="preserve"> </w:t>
      </w:r>
      <w:r>
        <w:t xml:space="preserve">AWS, Google Cloud, and Azure have expanded their African data center presence (AWS launched in South Africa in 2020; Google Cloud announced Johannesburg region in 2022), reducing latency and data sovereignty concerns for fintech platforms serving East African users. Containerization (Docker, Kubernetes) and serverless architectures have dramatically reduced the cost and complexity of deploying scalable backend systems.</w:t>
      </w:r>
    </w:p>
    <w:p>
      <w:pPr>
        <w:pStyle w:val="a0"/>
      </w:pPr>
      <w:r>
        <w:rPr>
          <w:b/>
          <w:bCs/>
        </w:rPr>
        <w:t xml:space="preserve">Open-Source Machine Learning Maturity:</w:t>
      </w:r>
      <w:r>
        <w:t xml:space="preserve"> </w:t>
      </w:r>
      <w:r>
        <w:t xml:space="preserve">The XGBoost, SHAP, and scikit-learn libraries — the core algorithmic components of the Trust Engine — have achieved production-grade stability and are actively maintained by large research communities. The availability of pre-trained models, transfer learning techniques, and automated machine learning (AutoML) tools reduces the technical barrier to building sophisticated credit scoring systems.</w:t>
      </w:r>
    </w:p>
    <w:p>
      <w:pPr>
        <w:pStyle w:val="a0"/>
      </w:pPr>
      <w:r>
        <w:rPr>
          <w:b/>
          <w:bCs/>
        </w:rPr>
        <w:t xml:space="preserve">Investor Appetite:</w:t>
      </w:r>
      <w:r>
        <w:t xml:space="preserve"> </w:t>
      </w:r>
      <w:r>
        <w:t xml:space="preserve">African fintech funding reached</w:t>
      </w:r>
      <w:r>
        <w:t xml:space="preserve"> </w:t>
      </w:r>
      <w:r>
        <w:rPr>
          <w:b/>
          <w:bCs/>
        </w:rPr>
        <w:t xml:space="preserve">$693.9 million in 2025</w:t>
      </w:r>
      <w:r>
        <w:t xml:space="preserve">, a 41.9% year-over-year increase, with fintech accounting for</w:t>
      </w:r>
      <w:r>
        <w:t xml:space="preserve"> </w:t>
      </w:r>
      <w:r>
        <w:rPr>
          <w:b/>
          <w:bCs/>
        </w:rPr>
        <w:t xml:space="preserve">42% of all African tech funding</w:t>
      </w:r>
      <w:r>
        <w:t xml:space="preserve">. Sector-focused funds (Flourish Ventures, Accion Ventures, Norrsken22, Partech Africa) have deployed hundreds of millions of dollars specifically into financial inclusion ventures. The</w:t>
      </w:r>
      <w:r>
        <w:t xml:space="preserve"> </w:t>
      </w:r>
      <w:r>
        <w:t xml:space="preserve">“</w:t>
      </w:r>
      <w:r>
        <w:t xml:space="preserve">funding winter</w:t>
      </w:r>
      <w:r>
        <w:t xml:space="preserve">”</w:t>
      </w:r>
      <w:r>
        <w:t xml:space="preserve"> </w:t>
      </w:r>
      <w:r>
        <w:t xml:space="preserve">of 2023-2024 has given way to a renewed conviction that African fintech represents one of the largest remaining venture-scale opportunities globally.</w:t>
      </w:r>
    </w:p>
    <w:p>
      <w:r>
        <w:pict>
          <v:rect style="width:0;height:1.5pt" o:hralign="center" o:hrstd="t" o:hr="t"/>
        </w:pict>
      </w:r>
    </w:p>
    <w:bookmarkEnd w:id="33"/>
    <w:bookmarkEnd w:id="34"/>
    <w:bookmarkStart w:id="39" w:name="the-twende-platform-architecture"/>
    <w:p>
      <w:pPr>
        <w:pStyle w:val="2"/>
      </w:pPr>
      <w:r>
        <w:t xml:space="preserve">3. THE TWENDE PLATFORM ARCHITECTURE</w:t>
      </w:r>
    </w:p>
    <w:bookmarkStart w:id="35" w:name="Xe0b13c0d2bcdb0284a73aac397eb09d66815b42"/>
    <w:p>
      <w:pPr>
        <w:pStyle w:val="3"/>
      </w:pPr>
      <w:r>
        <w:t xml:space="preserve">3.1 Design Philosophy: Infrastructure, Not Application</w:t>
      </w:r>
    </w:p>
    <w:p>
      <w:pPr>
        <w:pStyle w:val="FirstParagraph"/>
      </w:pPr>
      <w:r>
        <w:t xml:space="preserve">TWENDE is architected as</w:t>
      </w:r>
      <w:r>
        <w:t xml:space="preserve"> </w:t>
      </w:r>
      <w:r>
        <w:rPr>
          <w:b/>
          <w:bCs/>
        </w:rPr>
        <w:t xml:space="preserve">foundational digital trust infrastructure</w:t>
      </w:r>
      <w:r>
        <w:t xml:space="preserve"> </w:t>
      </w:r>
      <w:r>
        <w:t xml:space="preserve">rather than a consumer-facing application. This distinction is critical to understanding the platform’s strategic positioning, technical design, and long-term value proposition.</w:t>
      </w:r>
    </w:p>
    <w:p>
      <w:pPr>
        <w:pStyle w:val="a0"/>
      </w:pPr>
      <w:r>
        <w:t xml:space="preserve">A consumer application solves a user’s immediate problem — send money, buy a product, book a service — and captures value through transaction fees or advertising. Infrastructure, by contrast, provides the</w:t>
      </w:r>
      <w:r>
        <w:t xml:space="preserve"> </w:t>
      </w:r>
      <w:r>
        <w:rPr>
          <w:b/>
          <w:bCs/>
        </w:rPr>
        <w:t xml:space="preserve">underlying capabilities</w:t>
      </w:r>
      <w:r>
        <w:t xml:space="preserve"> </w:t>
      </w:r>
      <w:r>
        <w:t xml:space="preserve">that enable multiple applications, multiple user types, and multiple business models to operate on a shared foundation. Visa does not issue credit cards; it provides the payment network that enables banks, merchants, and consumers to transact. Similarly, TWENDE does not merely provide loans or savings accounts; it provides the</w:t>
      </w:r>
      <w:r>
        <w:t xml:space="preserve"> </w:t>
      </w:r>
      <w:r>
        <w:rPr>
          <w:b/>
          <w:bCs/>
        </w:rPr>
        <w:t xml:space="preserve">trust infrastructure</w:t>
      </w:r>
      <w:r>
        <w:t xml:space="preserve"> </w:t>
      </w:r>
      <w:r>
        <w:t xml:space="preserve">— credit scoring, identity verification, risk assessment, and cross-product data integration — that enables a ecosystem of financial services to serve the informal economy.</w:t>
      </w:r>
    </w:p>
    <w:p>
      <w:pPr>
        <w:pStyle w:val="a0"/>
      </w:pPr>
      <w:r>
        <w:t xml:space="preserve">This infrastructure-centric design philosophy manifests in five architectural decisions:</w:t>
      </w:r>
    </w:p>
    <w:p>
      <w:pPr>
        <w:pStyle w:val="a0"/>
      </w:pPr>
      <w:r>
        <w:rPr>
          <w:b/>
          <w:bCs/>
        </w:rPr>
        <w:t xml:space="preserve">Modular Pillar Architecture:</w:t>
      </w:r>
      <w:r>
        <w:t xml:space="preserve"> </w:t>
      </w:r>
      <w:r>
        <w:t xml:space="preserve">Each of the five product pillars (Chama, Biashara, Kazi, Linda, Soko) operates as an independent service with its own data model, business logic, and user interface, while sharing the Trust Engine as a common dependency. This modularity enables independent development, testing, and scaling of each pillar, while the shared Trust Engine ensures that behavioral data from any pillar contributes to the user’s unified credit profile.</w:t>
      </w:r>
    </w:p>
    <w:p>
      <w:pPr>
        <w:pStyle w:val="a0"/>
      </w:pPr>
      <w:r>
        <w:rPr>
          <w:b/>
          <w:bCs/>
        </w:rPr>
        <w:t xml:space="preserve">API-First Design:</w:t>
      </w:r>
      <w:r>
        <w:t xml:space="preserve"> </w:t>
      </w:r>
      <w:r>
        <w:t xml:space="preserve">All platform functionality is exposed through RESTful APIs, enabling third-party developers, partner financial institutions, and regulatory bodies to integrate with TWENDE infrastructure. The API layer implements OAuth 2.0 authentication, rate limiting, request logging, and versioning — enterprise-grade standards that position TWENDE as a platform others can build upon.</w:t>
      </w:r>
    </w:p>
    <w:p>
      <w:pPr>
        <w:pStyle w:val="a0"/>
      </w:pPr>
      <w:r>
        <w:rPr>
          <w:b/>
          <w:bCs/>
        </w:rPr>
        <w:t xml:space="preserve">Event-Driven Data Flow:</w:t>
      </w:r>
      <w:r>
        <w:t xml:space="preserve"> </w:t>
      </w:r>
      <w:r>
        <w:t xml:space="preserve">Cross-pillar data integration operates through an Apache Kafka event bus rather than direct database coupling. When a user makes a chama contribution, a</w:t>
      </w:r>
      <w:r>
        <w:t xml:space="preserve"> </w:t>
      </w:r>
      <w:r>
        <w:rPr>
          <w:rStyle w:val="VerbatimChar"/>
        </w:rPr>
        <w:t xml:space="preserve">chama.contribution.created</w:t>
      </w:r>
      <w:r>
        <w:t xml:space="preserve"> </w:t>
      </w:r>
      <w:r>
        <w:t xml:space="preserve">event is published to Kafka; the Trust Engine consumes this event and triggers score recalculation. This decoupled architecture ensures that pillars can evolve independently while maintaining real-time data synchronization.</w:t>
      </w:r>
    </w:p>
    <w:p>
      <w:pPr>
        <w:pStyle w:val="a0"/>
      </w:pPr>
      <w:r>
        <w:rPr>
          <w:b/>
          <w:bCs/>
        </w:rPr>
        <w:t xml:space="preserve">Regulatory-First Compliance:</w:t>
      </w:r>
      <w:r>
        <w:t xml:space="preserve"> </w:t>
      </w:r>
      <w:r>
        <w:t xml:space="preserve">Data protection, consumer privacy, and fair lending requirements are implemented at the infrastructure layer, not as afterthoughts. The Trust Engine’s fairness constraints, excluded features, and bias audit pipeline are core system components, not optional add-ons. This design ensures that every product built on TWENDE infrastructure inherits regulatory compliance by default.</w:t>
      </w:r>
    </w:p>
    <w:p>
      <w:pPr>
        <w:pStyle w:val="a0"/>
      </w:pPr>
      <w:r>
        <w:rPr>
          <w:b/>
          <w:bCs/>
        </w:rPr>
        <w:t xml:space="preserve">Multi-Tenancy and White-Labeling:</w:t>
      </w:r>
      <w:r>
        <w:t xml:space="preserve"> </w:t>
      </w:r>
      <w:r>
        <w:t xml:space="preserve">The platform architecture supports multi-tenant deployment, enabling partner organizations — microfinance institutions, cooperatives, NGO programs, government agencies — to deploy branded instances of TWENDE pillars with their own configurations, workflows, and user bases, while sharing the underlying Trust Engine infrastructure.</w:t>
      </w:r>
    </w:p>
    <w:bookmarkEnd w:id="35"/>
    <w:bookmarkStart w:id="36" w:name="system-architecture-overview"/>
    <w:p>
      <w:pPr>
        <w:pStyle w:val="3"/>
      </w:pPr>
      <w:r>
        <w:t xml:space="preserve">3.2 System Architecture Overview</w:t>
      </w:r>
    </w:p>
    <w:p>
      <w:pPr>
        <w:pStyle w:val="FirstParagraph"/>
      </w:pPr>
      <w:r>
        <w:t xml:space="preserve">The TWENDE Platform operates as a distributed system with four architectural layers:</w:t>
      </w:r>
    </w:p>
    <w:p>
      <w:pPr>
        <w:pStyle w:val="SourceCode"/>
      </w:pPr>
      <w:r>
        <w:rPr>
          <w:rStyle w:val="VerbatimChar"/>
        </w:rPr>
        <w:t xml:space="preserve">┌─────────────────────────────────────────────────────────────────────────────┐</w:t>
      </w:r>
      <w:r>
        <w:br/>
      </w:r>
      <w:r>
        <w:rPr>
          <w:rStyle w:val="VerbatimChar"/>
        </w:rPr>
        <w:t xml:space="preserve">│                         PRESENTATION LAYER                                  │</w:t>
      </w:r>
      <w:r>
        <w:br/>
      </w:r>
      <w:r>
        <w:rPr>
          <w:rStyle w:val="VerbatimChar"/>
        </w:rPr>
        <w:t xml:space="preserve">│  ┌─────────┐  ┌─────────┐  ┌─────────┐  ┌─────────┐  ┌─────────┐         │</w:t>
      </w:r>
      <w:r>
        <w:br/>
      </w:r>
      <w:r>
        <w:rPr>
          <w:rStyle w:val="VerbatimChar"/>
        </w:rPr>
        <w:t xml:space="preserve">│  │  Chama  │  │Biashara │  │  Kazi   │  │  Linda  │  │  Soko   │         │</w:t>
      </w:r>
      <w:r>
        <w:br/>
      </w:r>
      <w:r>
        <w:rPr>
          <w:rStyle w:val="VerbatimChar"/>
        </w:rPr>
        <w:t xml:space="preserve">│  │  (Web)  │  │  (Web)  │  │  (Web)  │  │  (Web)  │  │  (Web)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Trust Score UI   │                                    │</w:t>
      </w:r>
      <w:r>
        <w:br/>
      </w:r>
      <w:r>
        <w:rPr>
          <w:rStyle w:val="VerbatimChar"/>
        </w:rPr>
        <w:t xml:space="preserve">│                    │ (Gauge, Breakdown,│                                    │</w:t>
      </w:r>
      <w:r>
        <w:br/>
      </w:r>
      <w:r>
        <w:rPr>
          <w:rStyle w:val="VerbatimChar"/>
        </w:rPr>
        <w:t xml:space="preserve">│                    │ What-If, History) │                                    │</w:t>
      </w:r>
      <w:r>
        <w:br/>
      </w:r>
      <w:r>
        <w:rPr>
          <w:rStyle w:val="VerbatimChar"/>
        </w:rPr>
        <w:t xml:space="preserve">│                    └───────────────────┘                                    │</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                    API GATEWAY (Kong)                                  │ │</w:t>
      </w:r>
      <w:r>
        <w:br/>
      </w:r>
      <w:r>
        <w:rPr>
          <w:rStyle w:val="VerbatimChar"/>
        </w:rPr>
        <w:t xml:space="preserve">│  │  Authentication | Rate Limiting | Request Routing | Logging             │ │</w:t>
      </w:r>
      <w:r>
        <w:br/>
      </w:r>
      <w:r>
        <w:rPr>
          <w:rStyle w:val="VerbatimChar"/>
        </w:rPr>
        <w:t xml:space="preserve">│  └───────────────────────────────────────────────────────────────────────┘ │</w:t>
      </w:r>
      <w:r>
        <w:br/>
      </w:r>
      <w:r>
        <w:rPr>
          <w:rStyle w:val="VerbatimChar"/>
        </w:rPr>
        <w:t xml:space="preserve">│       │              │              │              │              │          │</w:t>
      </w:r>
      <w:r>
        <w:br/>
      </w:r>
      <w:r>
        <w:rPr>
          <w:rStyle w:val="VerbatimChar"/>
        </w:rPr>
        <w:t xml:space="preserve">│  ┌────▼────┐   ┌────▼────┐   ┌────▼────┐   ┌────▼────┐   ┌────▼────┐    │</w:t>
      </w:r>
      <w:r>
        <w:br/>
      </w:r>
      <w:r>
        <w:rPr>
          <w:rStyle w:val="VerbatimChar"/>
        </w:rPr>
        <w:t xml:space="preserve">│  │ Chama   │   │Biashara │   │  Kazi   │   │  Linda  │   │  Soko   │    │</w:t>
      </w:r>
      <w:r>
        <w:br/>
      </w:r>
      <w:r>
        <w:rPr>
          <w:rStyle w:val="VerbatimChar"/>
        </w:rPr>
        <w:t xml:space="preserve">│  │Service  │   │ Service │   │ Service │   │ Service │   │ Service │    │</w:t>
      </w:r>
      <w:r>
        <w:br/>
      </w:r>
      <w:r>
        <w:rPr>
          <w:rStyle w:val="VerbatimChar"/>
        </w:rPr>
        <w:t xml:space="preserve">│  │(Node.js)│   │(Node.js)│   │(Node.js)│   │(Node.js)│   │(Node.js)│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TRUST ENGINE      │                                    │</w:t>
      </w:r>
      <w:r>
        <w:br/>
      </w:r>
      <w:r>
        <w:rPr>
          <w:rStyle w:val="VerbatimChar"/>
        </w:rPr>
        <w:t xml:space="preserve">│                    │ (Python + XGBoost) │                                    │</w:t>
      </w:r>
      <w:r>
        <w:br/>
      </w:r>
      <w:r>
        <w:rPr>
          <w:rStyle w:val="VerbatimChar"/>
        </w:rPr>
        <w:t xml:space="preserve">│                    │ Score Calculation  │                                    │</w:t>
      </w:r>
      <w:r>
        <w:br/>
      </w:r>
      <w:r>
        <w:rPr>
          <w:rStyle w:val="VerbatimChar"/>
        </w:rPr>
        <w:t xml:space="preserve">│                    │ SHAP Explanations  │                                    │</w:t>
      </w:r>
      <w:r>
        <w:br/>
      </w:r>
      <w:r>
        <w:rPr>
          <w:rStyle w:val="VerbatimChar"/>
        </w:rPr>
        <w:t xml:space="preserve">│                    │ Eligibility Cache  │                                    │</w:t>
      </w:r>
      <w:r>
        <w:br/>
      </w:r>
      <w:r>
        <w:rPr>
          <w:rStyle w:val="VerbatimChar"/>
        </w:rPr>
        <w:t xml:space="preserve">│                    └───────────────────┘                                    │</w:t>
      </w:r>
      <w:r>
        <w:br/>
      </w:r>
      <w:r>
        <w:rPr>
          <w:rStyle w:val="VerbatimChar"/>
        </w:rPr>
        <w:t xml:space="preserve">├─────────────────────────────────────────────────────────────────────────────┤</w:t>
      </w:r>
      <w:r>
        <w:br/>
      </w:r>
      <w:r>
        <w:rPr>
          <w:rStyle w:val="VerbatimChar"/>
        </w:rPr>
        <w:t xml:space="preserve">│                         EVENT LAYER                                         │</w:t>
      </w:r>
      <w:r>
        <w:br/>
      </w:r>
      <w:r>
        <w:rPr>
          <w:rStyle w:val="VerbatimChar"/>
        </w:rPr>
        <w:t xml:space="preserve">│  ┌───────────────────────────────────────────────────────────────────────┐ │</w:t>
      </w:r>
      <w:r>
        <w:br/>
      </w:r>
      <w:r>
        <w:rPr>
          <w:rStyle w:val="VerbatimChar"/>
        </w:rPr>
        <w:t xml:space="preserve">│  │              APACHE KAFKA (3.6) - Event Bus                            │ │</w:t>
      </w:r>
      <w:r>
        <w:br/>
      </w:r>
      <w:r>
        <w:rPr>
          <w:rStyle w:val="VerbatimChar"/>
        </w:rPr>
        <w:t xml:space="preserve">│  │  18 topics | 6 partitions/topic | Replication factor 3                  │ │</w:t>
      </w:r>
      <w:r>
        <w:br/>
      </w:r>
      <w:r>
        <w:rPr>
          <w:rStyle w:val="VerbatimChar"/>
        </w:rPr>
        <w:t xml:space="preserve">│  │  Producers: All 5 pillars + Trust Engine                               │ │</w:t>
      </w:r>
      <w:r>
        <w:br/>
      </w:r>
      <w:r>
        <w:rPr>
          <w:rStyle w:val="VerbatimChar"/>
        </w:rPr>
        <w:t xml:space="preserve">│  │  Consumers: Trust Engine (score updates), Analytics, Notifications      │ │</w:t>
      </w:r>
      <w:r>
        <w:br/>
      </w:r>
      <w:r>
        <w:rPr>
          <w:rStyle w:val="VerbatimChar"/>
        </w:rPr>
        <w:t xml:space="preserve">│  └───────────────────────────────────────────────────────────────────────┘ │</w:t>
      </w:r>
      <w:r>
        <w:br/>
      </w:r>
      <w:r>
        <w:rPr>
          <w:rStyle w:val="VerbatimChar"/>
        </w:rPr>
        <w:t xml:space="preserve">├─────────────────────────────────────────────────────────────────────────────┤</w:t>
      </w:r>
      <w:r>
        <w:br/>
      </w:r>
      <w:r>
        <w:rPr>
          <w:rStyle w:val="VerbatimChar"/>
        </w:rPr>
        <w:t xml:space="preserve">│                         DATA LAYER                                          │</w:t>
      </w:r>
      <w:r>
        <w:br/>
      </w:r>
      <w:r>
        <w:rPr>
          <w:rStyle w:val="VerbatimChar"/>
        </w:rPr>
        <w:t xml:space="preserve">│  ┌────────────────┐  ┌────────────────┐  ┌────────────────┐               │</w:t>
      </w:r>
      <w:r>
        <w:br/>
      </w:r>
      <w:r>
        <w:rPr>
          <w:rStyle w:val="VerbatimChar"/>
        </w:rPr>
        <w:t xml:space="preserve">│  │  PostgreSQL    │  │     Redis      │  │  Data Warehouse │               │</w:t>
      </w:r>
      <w:r>
        <w:br/>
      </w:r>
      <w:r>
        <w:rPr>
          <w:rStyle w:val="VerbatimChar"/>
        </w:rPr>
        <w:t xml:space="preserve">│  │  (Primary DB)  │  │    (Cache)     │  │ (ClickHouse/BQ) │               │</w:t>
      </w:r>
      <w:r>
        <w:br/>
      </w:r>
      <w:r>
        <w:rPr>
          <w:rStyle w:val="VerbatimChar"/>
        </w:rPr>
        <w:t xml:space="preserve">│  │  - Users       │  │  - Eligibility │  │  - Analytics    │               │</w:t>
      </w:r>
      <w:r>
        <w:br/>
      </w:r>
      <w:r>
        <w:rPr>
          <w:rStyle w:val="VerbatimChar"/>
        </w:rPr>
        <w:t xml:space="preserve">│  │  - Transactions│  │  - Sessions    │  │  - Reporting    │               │</w:t>
      </w:r>
      <w:r>
        <w:br/>
      </w:r>
      <w:r>
        <w:rPr>
          <w:rStyle w:val="VerbatimChar"/>
        </w:rPr>
        <w:t xml:space="preserve">│  │  - Trust Scores│  │  - Rate Limits │  │  - BI Dashboard │               │</w:t>
      </w:r>
      <w:r>
        <w:br/>
      </w:r>
      <w:r>
        <w:rPr>
          <w:rStyle w:val="VerbatimChar"/>
        </w:rPr>
        <w:t xml:space="preserve">│  │  - Loans       │  │                │  │                 │               │</w:t>
      </w:r>
      <w:r>
        <w:br/>
      </w:r>
      <w:r>
        <w:rPr>
          <w:rStyle w:val="VerbatimChar"/>
        </w:rPr>
        <w:t xml:space="preserve">│  └────────────────┘  └────────────────┘  └────────────────┘               │</w:t>
      </w:r>
      <w:r>
        <w:br/>
      </w:r>
      <w:r>
        <w:rPr>
          <w:rStyle w:val="VerbatimChar"/>
        </w:rPr>
        <w:t xml:space="preserve">└─────────────────────────────────────────────────────────────────────────────┘</w:t>
      </w:r>
    </w:p>
    <w:bookmarkEnd w:id="36"/>
    <w:bookmarkStart w:id="37" w:name="the-five-product-pillars"/>
    <w:p>
      <w:pPr>
        <w:pStyle w:val="3"/>
      </w:pPr>
      <w:r>
        <w:t xml:space="preserve">3.3 The Five Product Pillars</w:t>
      </w:r>
    </w:p>
    <w:p>
      <w:pPr>
        <w:pStyle w:val="FirstParagraph"/>
      </w:pPr>
      <w:r>
        <w:t xml:space="preserve">Each pillar is designed as a</w:t>
      </w:r>
      <w:r>
        <w:t xml:space="preserve"> </w:t>
      </w:r>
      <w:r>
        <w:rPr>
          <w:b/>
          <w:bCs/>
        </w:rPr>
        <w:t xml:space="preserve">standalone product</w:t>
      </w:r>
      <w:r>
        <w:t xml:space="preserve"> </w:t>
      </w:r>
      <w:r>
        <w:t xml:space="preserve">that delivers independent value to users, while simultaneously generating behavioral data that feeds the Trust Engine. This dual-purpose design ensures that every user interaction — whether saving in a chama, selling on Soko, or completing a gig — contributes to a richer, more accurate credit profile.</w:t>
      </w:r>
    </w:p>
    <w:tbl>
      <w:tblPr>
        <w:tblStyle w:val="Table"/>
        <w:tblW w:type="pct" w:w="5000"/>
        <w:jc w:val="left"/>
        <w:tblLayout w:type="fixed"/>
        <w:tblLook w:firstRow="1" w:lastRow="0" w:firstColumn="0" w:lastColumn="0" w:noHBand="0" w:noVBand="0" w:val="0020"/>
      </w:tblPr>
      <w:tblGrid>
        <w:gridCol w:w="822"/>
        <w:gridCol w:w="1748"/>
        <w:gridCol w:w="2468"/>
        <w:gridCol w:w="1542"/>
        <w:gridCol w:w="1337"/>
      </w:tblGrid>
      <w:tr>
        <w:trPr>
          <w:tblHeader w:val="on"/>
        </w:trPr>
        <w:tc>
          <w:tcPr/>
          <w:p>
            <w:pPr>
              <w:pStyle w:val="Compact"/>
              <w:jc w:val="left"/>
            </w:pPr>
            <w:r>
              <w:t xml:space="preserve">Pillar</w:t>
            </w:r>
          </w:p>
        </w:tc>
        <w:tc>
          <w:tcPr/>
          <w:p>
            <w:pPr>
              <w:pStyle w:val="Compact"/>
              <w:jc w:val="left"/>
            </w:pPr>
            <w:r>
              <w:t xml:space="preserve">Primary Function</w:t>
            </w:r>
          </w:p>
        </w:tc>
        <w:tc>
          <w:tcPr/>
          <w:p>
            <w:pPr>
              <w:pStyle w:val="Compact"/>
              <w:jc w:val="left"/>
            </w:pPr>
            <w:r>
              <w:t xml:space="preserve">Credit Signal Generated</w:t>
            </w:r>
          </w:p>
        </w:tc>
        <w:tc>
          <w:tcPr/>
          <w:p>
            <w:pPr>
              <w:pStyle w:val="Compact"/>
              <w:jc w:val="left"/>
            </w:pPr>
            <w:r>
              <w:t xml:space="preserve">Revenue Model</w:t>
            </w:r>
          </w:p>
        </w:tc>
        <w:tc>
          <w:tcPr/>
          <w:p>
            <w:pPr>
              <w:pStyle w:val="Compact"/>
              <w:jc w:val="left"/>
            </w:pPr>
            <w:r>
              <w:t xml:space="preserve">Target Users</w:t>
            </w:r>
          </w:p>
        </w:tc>
      </w:tr>
      <w:tr>
        <w:tc>
          <w:tcPr/>
          <w:p>
            <w:pPr>
              <w:pStyle w:val="Compact"/>
              <w:jc w:val="left"/>
            </w:pPr>
            <w:r>
              <w:rPr>
                <w:b/>
                <w:bCs/>
              </w:rPr>
              <w:t xml:space="preserve">Chama</w:t>
            </w:r>
          </w:p>
        </w:tc>
        <w:tc>
          <w:tcPr/>
          <w:p>
            <w:pPr>
              <w:pStyle w:val="Compact"/>
              <w:jc w:val="left"/>
            </w:pPr>
            <w:r>
              <w:t xml:space="preserve">Digital ROSCA management</w:t>
            </w:r>
          </w:p>
        </w:tc>
        <w:tc>
          <w:tcPr/>
          <w:p>
            <w:pPr>
              <w:pStyle w:val="Compact"/>
              <w:jc w:val="left"/>
            </w:pPr>
            <w:r>
              <w:t xml:space="preserve">Savings discipline, group tenure, leadership</w:t>
            </w:r>
          </w:p>
        </w:tc>
        <w:tc>
          <w:tcPr/>
          <w:p>
            <w:pPr>
              <w:pStyle w:val="Compact"/>
              <w:jc w:val="left"/>
            </w:pPr>
            <w:r>
              <w:t xml:space="preserve">1% transaction fee</w:t>
            </w:r>
          </w:p>
        </w:tc>
        <w:tc>
          <w:tcPr/>
          <w:p>
            <w:pPr>
              <w:pStyle w:val="Compact"/>
              <w:jc w:val="left"/>
            </w:pPr>
            <w:r>
              <w:t xml:space="preserve">Savings group members (70-80% female)</w:t>
            </w:r>
          </w:p>
        </w:tc>
      </w:tr>
      <w:tr>
        <w:tc>
          <w:tcPr/>
          <w:p>
            <w:pPr>
              <w:pStyle w:val="Compact"/>
              <w:jc w:val="left"/>
            </w:pPr>
            <w:r>
              <w:rPr>
                <w:b/>
                <w:bCs/>
              </w:rPr>
              <w:t xml:space="preserve">Biashara</w:t>
            </w:r>
          </w:p>
        </w:tc>
        <w:tc>
          <w:tcPr/>
          <w:p>
            <w:pPr>
              <w:pStyle w:val="Compact"/>
              <w:jc w:val="left"/>
            </w:pPr>
            <w:r>
              <w:t xml:space="preserve">Micro-loans (KES 5K-500K)</w:t>
            </w:r>
          </w:p>
        </w:tc>
        <w:tc>
          <w:tcPr/>
          <w:p>
            <w:pPr>
              <w:pStyle w:val="Compact"/>
              <w:jc w:val="left"/>
            </w:pPr>
            <w:r>
              <w:t xml:space="preserve">Repayment behavior, credit utilization</w:t>
            </w:r>
          </w:p>
        </w:tc>
        <w:tc>
          <w:tcPr/>
          <w:p>
            <w:pPr>
              <w:pStyle w:val="Compact"/>
              <w:jc w:val="left"/>
            </w:pPr>
            <w:r>
              <w:t xml:space="preserve">10-24% APR interest</w:t>
            </w:r>
          </w:p>
        </w:tc>
        <w:tc>
          <w:tcPr/>
          <w:p>
            <w:pPr>
              <w:pStyle w:val="Compact"/>
              <w:jc w:val="left"/>
            </w:pPr>
            <w:r>
              <w:t xml:space="preserve">Traders, vendors, small business owners</w:t>
            </w:r>
          </w:p>
        </w:tc>
      </w:tr>
      <w:tr>
        <w:tc>
          <w:tcPr/>
          <w:p>
            <w:pPr>
              <w:pStyle w:val="Compact"/>
              <w:jc w:val="left"/>
            </w:pPr>
            <w:r>
              <w:rPr>
                <w:b/>
                <w:bCs/>
              </w:rPr>
              <w:t xml:space="preserve">Kazi</w:t>
            </w:r>
          </w:p>
        </w:tc>
        <w:tc>
          <w:tcPr/>
          <w:p>
            <w:pPr>
              <w:pStyle w:val="Compact"/>
              <w:jc w:val="left"/>
            </w:pPr>
            <w:r>
              <w:t xml:space="preserve">Gig work marketplace</w:t>
            </w:r>
          </w:p>
        </w:tc>
        <w:tc>
          <w:tcPr/>
          <w:p>
            <w:pPr>
              <w:pStyle w:val="Compact"/>
              <w:jc w:val="left"/>
            </w:pPr>
            <w:r>
              <w:t xml:space="preserve">Completion rate, employer ratings, income stability</w:t>
            </w:r>
          </w:p>
        </w:tc>
        <w:tc>
          <w:tcPr/>
          <w:p>
            <w:pPr>
              <w:pStyle w:val="Compact"/>
              <w:jc w:val="left"/>
            </w:pPr>
            <w:r>
              <w:t xml:space="preserve">5% platform fee</w:t>
            </w:r>
          </w:p>
        </w:tc>
        <w:tc>
          <w:tcPr/>
          <w:p>
            <w:pPr>
              <w:pStyle w:val="Compact"/>
              <w:jc w:val="left"/>
            </w:pPr>
            <w:r>
              <w:t xml:space="preserve">Skilled laborers, service providers</w:t>
            </w:r>
          </w:p>
        </w:tc>
      </w:tr>
      <w:tr>
        <w:tc>
          <w:tcPr/>
          <w:p>
            <w:pPr>
              <w:pStyle w:val="Compact"/>
              <w:jc w:val="left"/>
            </w:pPr>
            <w:r>
              <w:rPr>
                <w:b/>
                <w:bCs/>
              </w:rPr>
              <w:t xml:space="preserve">Linda</w:t>
            </w:r>
          </w:p>
        </w:tc>
        <w:tc>
          <w:tcPr/>
          <w:p>
            <w:pPr>
              <w:pStyle w:val="Compact"/>
              <w:jc w:val="left"/>
            </w:pPr>
            <w:r>
              <w:t xml:space="preserve">Micro-insurance</w:t>
            </w:r>
          </w:p>
        </w:tc>
        <w:tc>
          <w:tcPr/>
          <w:p>
            <w:pPr>
              <w:pStyle w:val="Compact"/>
              <w:jc w:val="left"/>
            </w:pPr>
            <w:r>
              <w:t xml:space="preserve">Premium consistency, no-claim bonus</w:t>
            </w:r>
          </w:p>
        </w:tc>
        <w:tc>
          <w:tcPr/>
          <w:p>
            <w:pPr>
              <w:pStyle w:val="Compact"/>
              <w:jc w:val="left"/>
            </w:pPr>
            <w:r>
              <w:t xml:space="preserve">15-20% commission</w:t>
            </w:r>
          </w:p>
        </w:tc>
        <w:tc>
          <w:tcPr/>
          <w:p>
            <w:pPr>
              <w:pStyle w:val="Compact"/>
              <w:jc w:val="left"/>
            </w:pPr>
            <w:r>
              <w:t xml:space="preserve">Informal workers seeking risk protection</w:t>
            </w:r>
          </w:p>
        </w:tc>
      </w:tr>
      <w:tr>
        <w:tc>
          <w:tcPr/>
          <w:p>
            <w:pPr>
              <w:pStyle w:val="Compact"/>
              <w:jc w:val="left"/>
            </w:pPr>
            <w:r>
              <w:rPr>
                <w:b/>
                <w:bCs/>
              </w:rPr>
              <w:t xml:space="preserve">Soko</w:t>
            </w:r>
          </w:p>
        </w:tc>
        <w:tc>
          <w:tcPr/>
          <w:p>
            <w:pPr>
              <w:pStyle w:val="Compact"/>
              <w:jc w:val="left"/>
            </w:pPr>
            <w:r>
              <w:t xml:space="preserve">Social commerce marketplace</w:t>
            </w:r>
          </w:p>
        </w:tc>
        <w:tc>
          <w:tcPr/>
          <w:p>
            <w:pPr>
              <w:pStyle w:val="Compact"/>
              <w:jc w:val="left"/>
            </w:pPr>
            <w:r>
              <w:t xml:space="preserve">Sales volume, customer ratings, fulfillment</w:t>
            </w:r>
          </w:p>
        </w:tc>
        <w:tc>
          <w:tcPr/>
          <w:p>
            <w:pPr>
              <w:pStyle w:val="Compact"/>
              <w:jc w:val="left"/>
            </w:pPr>
            <w:r>
              <w:t xml:space="preserve">2-3% transaction fee</w:t>
            </w:r>
          </w:p>
        </w:tc>
        <w:tc>
          <w:tcPr/>
          <w:p>
            <w:pPr>
              <w:pStyle w:val="Compact"/>
              <w:jc w:val="left"/>
            </w:pPr>
            <w:r>
              <w:t xml:space="preserve">Marketplace vendors, artisans, retailers</w:t>
            </w:r>
          </w:p>
        </w:tc>
      </w:tr>
    </w:tbl>
    <w:bookmarkEnd w:id="37"/>
    <w:bookmarkStart w:id="38" w:name="the-trust-engine-as-platform-kernel"/>
    <w:p>
      <w:pPr>
        <w:pStyle w:val="3"/>
      </w:pPr>
      <w:r>
        <w:t xml:space="preserve">3.4 The Trust Engine as Platform Kernel</w:t>
      </w:r>
    </w:p>
    <w:p>
      <w:pPr>
        <w:pStyle w:val="FirstParagraph"/>
      </w:pPr>
      <w:r>
        <w:t xml:space="preserve">The Trust Engine functions as the</w:t>
      </w:r>
      <w:r>
        <w:t xml:space="preserve"> </w:t>
      </w:r>
      <w:r>
        <w:rPr>
          <w:b/>
          <w:bCs/>
        </w:rPr>
        <w:t xml:space="preserve">platform kernel</w:t>
      </w:r>
      <w:r>
        <w:t xml:space="preserve"> </w:t>
      </w:r>
      <w:r>
        <w:t xml:space="preserve">— the shared infrastructure component that all pillars depend upon and contribute to. Like an operating system kernel that manages hardware resources and provides services to applications, the Trust Engine manages user behavioral data and provides credit scoring services to all TWENDE products.</w:t>
      </w:r>
    </w:p>
    <w:p>
      <w:pPr>
        <w:pStyle w:val="a0"/>
      </w:pPr>
      <w:r>
        <w:t xml:space="preserve">This kernel architecture creates several strategic advantages:</w:t>
      </w:r>
    </w:p>
    <w:p>
      <w:pPr>
        <w:pStyle w:val="a0"/>
      </w:pPr>
      <w:r>
        <w:rPr>
          <w:b/>
          <w:bCs/>
        </w:rPr>
        <w:t xml:space="preserve">Data Network Effects:</w:t>
      </w:r>
      <w:r>
        <w:t xml:space="preserve"> </w:t>
      </w:r>
      <w:r>
        <w:t xml:space="preserve">As more users participate across more pillars, the Trust Engine’s scoring accuracy improves. A user who only uses Chama generates a limited behavioral profile; a user who uses Chama, sells on Soko, completes gigs on Kazi, and pays Linda premiums generates a rich, multidimensional profile that enables more accurate credit assessment. This creates a</w:t>
      </w:r>
      <w:r>
        <w:t xml:space="preserve"> </w:t>
      </w:r>
      <w:r>
        <w:rPr>
          <w:b/>
          <w:bCs/>
        </w:rPr>
        <w:t xml:space="preserve">data network effect</w:t>
      </w:r>
      <w:r>
        <w:t xml:space="preserve"> </w:t>
      </w:r>
      <w:r>
        <w:t xml:space="preserve">where platform value increases non-linearly with user engagement breadth.</w:t>
      </w:r>
    </w:p>
    <w:p>
      <w:pPr>
        <w:pStyle w:val="a0"/>
      </w:pPr>
      <w:r>
        <w:rPr>
          <w:b/>
          <w:bCs/>
        </w:rPr>
        <w:t xml:space="preserve">Cross-Selling Infrastructure:</w:t>
      </w:r>
      <w:r>
        <w:t xml:space="preserve"> </w:t>
      </w:r>
      <w:r>
        <w:t xml:space="preserve">The Trust Engine’s loan eligibility pre-computation enables real-time cross-selling across pillars. When a Soko merchant’s monthly GMV exceeds a threshold, the Trust Engine automatically triggers a loan pre-qualification event, which the Biashara service consumes to generate a pre-approved loan offer. This cross-selling happens automatically, without user-initiated application, because the Trust Engine continuously monitors behavioral signals and identifies lending opportunities.</w:t>
      </w:r>
    </w:p>
    <w:p>
      <w:pPr>
        <w:pStyle w:val="a0"/>
      </w:pPr>
      <w:r>
        <w:rPr>
          <w:b/>
          <w:bCs/>
        </w:rPr>
        <w:t xml:space="preserve">Partner Enablement:</w:t>
      </w:r>
      <w:r>
        <w:t xml:space="preserve"> </w:t>
      </w:r>
      <w:r>
        <w:t xml:space="preserve">Third-party financial institutions — microfinance banks, SACCOs, insurance underwriters — can integrate with the Trust Engine API to access credit scores for their own lending decisions. This positions TWENDE not as a competitor to existing financial institutions but as</w:t>
      </w:r>
      <w:r>
        <w:t xml:space="preserve"> </w:t>
      </w:r>
      <w:r>
        <w:rPr>
          <w:b/>
          <w:bCs/>
        </w:rPr>
        <w:t xml:space="preserve">infrastructure that makes them more effective</w:t>
      </w:r>
      <w:r>
        <w:t xml:space="preserve"> </w:t>
      </w:r>
      <w:r>
        <w:t xml:space="preserve">at serving informal economy customers.</w:t>
      </w:r>
    </w:p>
    <w:p>
      <w:pPr>
        <w:pStyle w:val="a0"/>
      </w:pPr>
      <w:r>
        <w:rPr>
          <w:b/>
          <w:bCs/>
        </w:rPr>
        <w:t xml:space="preserve">Regulatory Efficiency:</w:t>
      </w:r>
      <w:r>
        <w:t xml:space="preserve"> </w:t>
      </w:r>
      <w:r>
        <w:t xml:space="preserve">Because the Trust Engine centralizes credit scoring logic, fairness constraints, and audit logging, regulatory compliance is implemented once and inherited by all pillars. When the Bank of Tanzania updates its digital lending guidelines, only the Trust Engine’s configuration needs adjustment; all products automatically comply.</w:t>
      </w:r>
    </w:p>
    <w:p>
      <w:r>
        <w:pict>
          <v:rect style="width:0;height:1.5pt" o:hralign="center" o:hrstd="t" o:hr="t"/>
        </w:pict>
      </w:r>
    </w:p>
    <w:bookmarkEnd w:id="38"/>
    <w:bookmarkEnd w:id="39"/>
    <w:bookmarkStart w:id="50" w:name="the-trust-engine-technical-specification"/>
    <w:p>
      <w:pPr>
        <w:pStyle w:val="2"/>
      </w:pPr>
      <w:r>
        <w:t xml:space="preserve">4. THE TRUST ENGINE: TECHNICAL SPECIFICATION</w:t>
      </w:r>
    </w:p>
    <w:bookmarkStart w:id="40" w:name="algorithmic-architecture"/>
    <w:p>
      <w:pPr>
        <w:pStyle w:val="3"/>
      </w:pPr>
      <w:r>
        <w:t xml:space="preserve">4.1 Algorithmic Architecture</w:t>
      </w:r>
    </w:p>
    <w:p>
      <w:pPr>
        <w:pStyle w:val="FirstParagraph"/>
      </w:pPr>
      <w:r>
        <w:t xml:space="preserve">The Trust Engine implements a</w:t>
      </w:r>
      <w:r>
        <w:t xml:space="preserve"> </w:t>
      </w:r>
      <w:r>
        <w:rPr>
          <w:b/>
          <w:bCs/>
        </w:rPr>
        <w:t xml:space="preserve">two-stage scoring architecture</w:t>
      </w:r>
      <w:r>
        <w:t xml:space="preserve"> </w:t>
      </w:r>
      <w:r>
        <w:t xml:space="preserve">that combines the predictive power of gradient boosting with the interpretability requirements of regulated financial services.</w:t>
      </w:r>
    </w:p>
    <w:p>
      <w:pPr>
        <w:pStyle w:val="a0"/>
      </w:pPr>
      <w:r>
        <w:rPr>
          <w:b/>
          <w:bCs/>
        </w:rPr>
        <w:t xml:space="preserve">Stage 1: XGBoost Risk Classifier.</w:t>
      </w:r>
      <w:r>
        <w:t xml:space="preserve"> </w:t>
      </w:r>
      <w:r>
        <w:t xml:space="preserve">A gradient boosting ensemble (XGBoost) is trained to predict the probability of loan default given 25 engineered behavioral features. The model outputs a default probability</w:t>
      </w:r>
      <w:r>
        <w:t xml:space="preserve"> </w:t>
      </w:r>
      <m:oMath>
        <m:r>
          <m:t>p</m:t>
        </m:r>
        <m:r>
          <m:rPr>
            <m:sty m:val="p"/>
          </m:rPr>
          <m:t>∈</m:t>
        </m:r>
        <m:d>
          <m:dPr>
            <m:begChr m:val="["/>
            <m:endChr m:val="]"/>
            <m:sepChr m:val=""/>
            <m:grow/>
          </m:dPr>
          <m:e>
            <m:r>
              <m:t>0</m:t>
            </m:r>
            <m:r>
              <m:rPr>
                <m:sty m:val="p"/>
              </m:rPr>
              <m:t>,</m:t>
            </m:r>
            <m:r>
              <m:t>1</m:t>
            </m:r>
          </m:e>
        </m:d>
      </m:oMath>
      <w:r>
        <w:t xml:space="preserve">, which is then transformed to the 300-850 Trust Score range via a sigmoid mapping function.</w:t>
      </w:r>
    </w:p>
    <w:p>
      <w:pPr>
        <w:pStyle w:val="a0"/>
      </w:pPr>
      <w:r>
        <w:rPr>
          <w:b/>
          <w:bCs/>
        </w:rPr>
        <w:t xml:space="preserve">Stage 2: SHAP Decomposition.</w:t>
      </w:r>
      <w:r>
        <w:t xml:space="preserve"> </w:t>
      </w:r>
      <w:r>
        <w:t xml:space="preserve">For every score calculation, TreeSHAP computes the contribution of each feature to the model’s prediction, enabling three levels of explanation: (a) global feature importance across the user base, (b) individual factor breakdowns (the 7-factor sub-scores), and (c) granular feature-level contributions for power users and customer support.</w:t>
      </w:r>
    </w:p>
    <w:p>
      <w:pPr>
        <w:pStyle w:val="a0"/>
      </w:pPr>
      <w:r>
        <w:t xml:space="preserve">This two-stage architecture resolves the</w:t>
      </w:r>
      <w:r>
        <w:t xml:space="preserve"> </w:t>
      </w:r>
      <w:r>
        <w:rPr>
          <w:b/>
          <w:bCs/>
        </w:rPr>
        <w:t xml:space="preserve">accuracy-interpretability trade-off</w:t>
      </w:r>
      <w:r>
        <w:t xml:space="preserve"> </w:t>
      </w:r>
      <w:r>
        <w:t xml:space="preserve">that has plagued credit scoring for decades: the XGBoost model provides state-of-the-art predictive accuracy (AUC 0.79-0.94, per literature benchmarks), while SHAP decomposition ensures that every prediction is transparently explainable.</w:t>
      </w:r>
    </w:p>
    <w:bookmarkEnd w:id="40"/>
    <w:bookmarkStart w:id="41" w:name="the-7-factor-scoring-framework"/>
    <w:p>
      <w:pPr>
        <w:pStyle w:val="3"/>
      </w:pPr>
      <w:r>
        <w:t xml:space="preserve">4.2 The 7-Factor Scoring Framework</w:t>
      </w:r>
    </w:p>
    <w:p>
      <w:pPr>
        <w:pStyle w:val="FirstParagraph"/>
      </w:pPr>
      <w:r>
        <w:t xml:space="preserve">The Trust Engine’s scoring framework decomposes creditworthiness into seven behavioral dimensions. The factor weights were determined through a weighted analytical framework combining empirical evidence from the credit scoring literature, domain expertise in East African informal finance, and regulatory constraints.</w:t>
      </w:r>
    </w:p>
    <w:tbl>
      <w:tblPr>
        <w:tblStyle w:val="Table"/>
        <w:tblW w:type="pct" w:w="5000"/>
        <w:jc w:val="left"/>
        <w:tblLayout w:type="fixed"/>
        <w:tblLook w:firstRow="1" w:lastRow="0" w:firstColumn="0" w:lastColumn="0" w:noHBand="0" w:noVBand="0" w:val="0020"/>
      </w:tblPr>
      <w:tblGrid>
        <w:gridCol w:w="822"/>
        <w:gridCol w:w="822"/>
        <w:gridCol w:w="2057"/>
        <w:gridCol w:w="2571"/>
        <w:gridCol w:w="1645"/>
      </w:tblGrid>
      <w:tr>
        <w:trPr>
          <w:tblHeader w:val="on"/>
        </w:trPr>
        <w:tc>
          <w:tcPr/>
          <w:p>
            <w:pPr>
              <w:pStyle w:val="Compact"/>
              <w:jc w:val="left"/>
            </w:pPr>
            <w:r>
              <w:t xml:space="preserve">Factor</w:t>
            </w:r>
          </w:p>
        </w:tc>
        <w:tc>
          <w:tcPr/>
          <w:p>
            <w:pPr>
              <w:pStyle w:val="Compact"/>
              <w:jc w:val="left"/>
            </w:pPr>
            <w:r>
              <w:t xml:space="preserve">Weight</w:t>
            </w:r>
          </w:p>
        </w:tc>
        <w:tc>
          <w:tcPr/>
          <w:p>
            <w:pPr>
              <w:pStyle w:val="Compact"/>
              <w:jc w:val="left"/>
            </w:pPr>
            <w:r>
              <w:t xml:space="preserve">Primary Data Source</w:t>
            </w:r>
          </w:p>
        </w:tc>
        <w:tc>
          <w:tcPr/>
          <w:p>
            <w:pPr>
              <w:pStyle w:val="Compact"/>
              <w:jc w:val="left"/>
            </w:pPr>
            <w:r>
              <w:t xml:space="preserve">Theoretical Justification</w:t>
            </w:r>
          </w:p>
        </w:tc>
        <w:tc>
          <w:tcPr/>
          <w:p>
            <w:pPr>
              <w:pStyle w:val="Compact"/>
              <w:jc w:val="left"/>
            </w:pPr>
            <w:r>
              <w:t xml:space="preserve">Key Literature</w:t>
            </w:r>
          </w:p>
        </w:tc>
      </w:tr>
      <w:tr>
        <w:tc>
          <w:tcPr/>
          <w:p>
            <w:pPr>
              <w:pStyle w:val="Compact"/>
              <w:jc w:val="left"/>
            </w:pPr>
            <w:r>
              <w:rPr>
                <w:b/>
                <w:bCs/>
              </w:rPr>
              <w:t xml:space="preserve">Loan Repayment History</w:t>
            </w:r>
          </w:p>
        </w:tc>
        <w:tc>
          <w:tcPr/>
          <w:p>
            <w:pPr>
              <w:pStyle w:val="Compact"/>
              <w:jc w:val="left"/>
            </w:pPr>
            <w:r>
              <w:rPr>
                <w:b/>
                <w:bCs/>
              </w:rPr>
              <w:t xml:space="preserve">25%</w:t>
            </w:r>
          </w:p>
        </w:tc>
        <w:tc>
          <w:tcPr/>
          <w:p>
            <w:pPr>
              <w:pStyle w:val="Compact"/>
              <w:jc w:val="left"/>
            </w:pPr>
            <w:r>
              <w:t xml:space="preserve">Biashara loan records</w:t>
            </w:r>
          </w:p>
        </w:tc>
        <w:tc>
          <w:tcPr/>
          <w:p>
            <w:pPr>
              <w:pStyle w:val="Compact"/>
              <w:jc w:val="left"/>
            </w:pPr>
            <w:r>
              <w:t xml:space="preserve">Past repayment is the strongest predictor of future default across all credit scoring methodologies [</w:t>
            </w:r>
            <w:r>
              <w:rPr>
                <w:vertAlign w:val="superscript"/>
              </w:rPr>
              <w:t xml:space="preserve">161</w:t>
            </w:r>
            <w:r>
              <w:t xml:space="preserve">]</w:t>
            </w:r>
          </w:p>
        </w:tc>
        <w:tc>
          <w:tcPr/>
          <w:p>
            <w:pPr>
              <w:pStyle w:val="Compact"/>
              <w:jc w:val="left"/>
            </w:pPr>
            <w:r>
              <w:t xml:space="preserve">Dastile et al. (2020); Khan et al. (2025)</w:t>
            </w:r>
          </w:p>
        </w:tc>
      </w:tr>
      <w:tr>
        <w:tc>
          <w:tcPr/>
          <w:p>
            <w:pPr>
              <w:pStyle w:val="Compact"/>
              <w:jc w:val="left"/>
            </w:pPr>
            <w:r>
              <w:rPr>
                <w:b/>
                <w:bCs/>
              </w:rPr>
              <w:t xml:space="preserve">Chama Savings Behavior</w:t>
            </w:r>
          </w:p>
        </w:tc>
        <w:tc>
          <w:tcPr/>
          <w:p>
            <w:pPr>
              <w:pStyle w:val="Compact"/>
              <w:jc w:val="left"/>
            </w:pPr>
            <w:r>
              <w:rPr>
                <w:b/>
                <w:bCs/>
              </w:rPr>
              <w:t xml:space="preserve">20%</w:t>
            </w:r>
          </w:p>
        </w:tc>
        <w:tc>
          <w:tcPr/>
          <w:p>
            <w:pPr>
              <w:pStyle w:val="Compact"/>
              <w:jc w:val="left"/>
            </w:pPr>
            <w:r>
              <w:t xml:space="preserve">Chama contribution records</w:t>
            </w:r>
          </w:p>
        </w:tc>
        <w:tc>
          <w:tcPr/>
          <w:p>
            <w:pPr>
              <w:pStyle w:val="Compact"/>
              <w:jc w:val="left"/>
            </w:pPr>
            <w:r>
              <w:t xml:space="preserve">ROSCA economics: contribution consistency and group tenure signal creditworthiness through social enforcement mechanisms [</w:t>
            </w:r>
            <w:r>
              <w:rPr>
                <w:vertAlign w:val="superscript"/>
              </w:rPr>
              <w:t xml:space="preserve">169</w:t>
            </w:r>
            <w:r>
              <w:t xml:space="preserve">]</w:t>
            </w:r>
          </w:p>
        </w:tc>
        <w:tc>
          <w:tcPr/>
          <w:p>
            <w:pPr>
              <w:pStyle w:val="Compact"/>
              <w:jc w:val="left"/>
            </w:pPr>
            <w:r>
              <w:t xml:space="preserve">Besley, Coate &amp; Loury (1993, 1994); scoping review (2024) [</w:t>
            </w:r>
            <w:r>
              <w:rPr>
                <w:vertAlign w:val="superscript"/>
              </w:rPr>
              <w:t xml:space="preserve">172</w:t>
            </w:r>
            <w:r>
              <w:t xml:space="preserve">]</w:t>
            </w:r>
          </w:p>
        </w:tc>
      </w:tr>
      <w:tr>
        <w:tc>
          <w:tcPr/>
          <w:p>
            <w:pPr>
              <w:pStyle w:val="Compact"/>
              <w:jc w:val="left"/>
            </w:pPr>
            <w:r>
              <w:rPr>
                <w:b/>
                <w:bCs/>
              </w:rPr>
              <w:t xml:space="preserve">Soko Sales Performance</w:t>
            </w:r>
          </w:p>
        </w:tc>
        <w:tc>
          <w:tcPr/>
          <w:p>
            <w:pPr>
              <w:pStyle w:val="Compact"/>
              <w:jc w:val="left"/>
            </w:pPr>
            <w:r>
              <w:rPr>
                <w:b/>
                <w:bCs/>
              </w:rPr>
              <w:t xml:space="preserve">20%</w:t>
            </w:r>
          </w:p>
        </w:tc>
        <w:tc>
          <w:tcPr/>
          <w:p>
            <w:pPr>
              <w:pStyle w:val="Compact"/>
              <w:jc w:val="left"/>
            </w:pPr>
            <w:r>
              <w:t xml:space="preserve">Soko marketplace transactions</w:t>
            </w:r>
          </w:p>
        </w:tc>
        <w:tc>
          <w:tcPr/>
          <w:p>
            <w:pPr>
              <w:pStyle w:val="Compact"/>
              <w:jc w:val="left"/>
            </w:pPr>
            <w:r>
              <w:t xml:space="preserve">Business performance data (GMV, ratings, fulfillment) predicts loan repayment capacity for merchant borrowers</w:t>
            </w:r>
          </w:p>
        </w:tc>
        <w:tc>
          <w:tcPr/>
          <w:p>
            <w:pPr>
              <w:pStyle w:val="Compact"/>
              <w:jc w:val="left"/>
            </w:pPr>
            <w:r>
              <w:t xml:space="preserve">E-commerce credit literature (Flipkart, Ant Financial)</w:t>
            </w:r>
          </w:p>
        </w:tc>
      </w:tr>
      <w:tr>
        <w:tc>
          <w:tcPr/>
          <w:p>
            <w:pPr>
              <w:pStyle w:val="Compact"/>
              <w:jc w:val="left"/>
            </w:pPr>
            <w:r>
              <w:rPr>
                <w:b/>
                <w:bCs/>
              </w:rPr>
              <w:t xml:space="preserve">M-Pesa Transaction History</w:t>
            </w:r>
          </w:p>
        </w:tc>
        <w:tc>
          <w:tcPr/>
          <w:p>
            <w:pPr>
              <w:pStyle w:val="Compact"/>
              <w:jc w:val="left"/>
            </w:pPr>
            <w:r>
              <w:rPr>
                <w:b/>
                <w:bCs/>
              </w:rPr>
              <w:t xml:space="preserve">15%</w:t>
            </w:r>
          </w:p>
        </w:tc>
        <w:tc>
          <w:tcPr/>
          <w:p>
            <w:pPr>
              <w:pStyle w:val="Compact"/>
              <w:jc w:val="left"/>
            </w:pPr>
            <w:r>
              <w:t xml:space="preserve">M-Pesa Daraja API summaries</w:t>
            </w:r>
          </w:p>
        </w:tc>
        <w:tc>
          <w:tcPr/>
          <w:p>
            <w:pPr>
              <w:pStyle w:val="Compact"/>
              <w:jc w:val="left"/>
            </w:pPr>
            <w:r>
              <w:t xml:space="preserve">Mobile money patterns predict default risk with 70-80% accuracy; captures cash flow regularity and financial health [</w:t>
            </w:r>
            <w:r>
              <w:rPr>
                <w:vertAlign w:val="superscript"/>
              </w:rPr>
              <w:t xml:space="preserve">164</w:t>
            </w:r>
            <w:r>
              <w:t xml:space="preserve">][</w:t>
            </w:r>
            <w:r>
              <w:rPr>
                <w:vertAlign w:val="superscript"/>
              </w:rPr>
              <w:t xml:space="preserve">166</w:t>
            </w:r>
            <w:r>
              <w:t xml:space="preserve">]</w:t>
            </w:r>
          </w:p>
        </w:tc>
        <w:tc>
          <w:tcPr/>
          <w:p>
            <w:pPr>
              <w:pStyle w:val="Compact"/>
              <w:jc w:val="left"/>
            </w:pPr>
            <w:r>
              <w:t xml:space="preserve">PMC study (2024); Gates Foundation/CGAP</w:t>
            </w:r>
          </w:p>
        </w:tc>
      </w:tr>
      <w:tr>
        <w:tc>
          <w:tcPr/>
          <w:p>
            <w:pPr>
              <w:pStyle w:val="Compact"/>
              <w:jc w:val="left"/>
            </w:pPr>
            <w:r>
              <w:rPr>
                <w:b/>
                <w:bCs/>
              </w:rPr>
              <w:t xml:space="preserve">Gig Work Income</w:t>
            </w:r>
          </w:p>
        </w:tc>
        <w:tc>
          <w:tcPr/>
          <w:p>
            <w:pPr>
              <w:pStyle w:val="Compact"/>
              <w:jc w:val="left"/>
            </w:pPr>
            <w:r>
              <w:rPr>
                <w:b/>
                <w:bCs/>
              </w:rPr>
              <w:t xml:space="preserve">10%</w:t>
            </w:r>
          </w:p>
        </w:tc>
        <w:tc>
          <w:tcPr/>
          <w:p>
            <w:pPr>
              <w:pStyle w:val="Compact"/>
              <w:jc w:val="left"/>
            </w:pPr>
            <w:r>
              <w:t xml:space="preserve">Kazi gig completion records</w:t>
            </w:r>
          </w:p>
        </w:tc>
        <w:tc>
          <w:tcPr/>
          <w:p>
            <w:pPr>
              <w:pStyle w:val="Compact"/>
              <w:jc w:val="left"/>
            </w:pPr>
            <w:r>
              <w:t xml:space="preserve">Income stability and skill diversification signal reliability; gig completion rates demonstrate work ethic</w:t>
            </w:r>
          </w:p>
        </w:tc>
        <w:tc>
          <w:tcPr/>
          <w:p>
            <w:pPr>
              <w:pStyle w:val="Compact"/>
              <w:jc w:val="left"/>
            </w:pPr>
            <w:r>
              <w:t xml:space="preserve">Labor economics; gig economy literature</w:t>
            </w:r>
          </w:p>
        </w:tc>
      </w:tr>
      <w:tr>
        <w:tc>
          <w:tcPr/>
          <w:p>
            <w:pPr>
              <w:pStyle w:val="Compact"/>
              <w:jc w:val="left"/>
            </w:pPr>
            <w:r>
              <w:rPr>
                <w:b/>
                <w:bCs/>
              </w:rPr>
              <w:t xml:space="preserve">Insurance Payment Discipline</w:t>
            </w:r>
          </w:p>
        </w:tc>
        <w:tc>
          <w:tcPr/>
          <w:p>
            <w:pPr>
              <w:pStyle w:val="Compact"/>
              <w:jc w:val="left"/>
            </w:pPr>
            <w:r>
              <w:rPr>
                <w:b/>
                <w:bCs/>
              </w:rPr>
              <w:t xml:space="preserve">5%</w:t>
            </w:r>
          </w:p>
        </w:tc>
        <w:tc>
          <w:tcPr/>
          <w:p>
            <w:pPr>
              <w:pStyle w:val="Compact"/>
              <w:jc w:val="left"/>
            </w:pPr>
            <w:r>
              <w:t xml:space="preserve">Linda premium payment records</w:t>
            </w:r>
          </w:p>
        </w:tc>
        <w:tc>
          <w:tcPr/>
          <w:p>
            <w:pPr>
              <w:pStyle w:val="Compact"/>
              <w:jc w:val="left"/>
            </w:pPr>
            <w:r>
              <w:t xml:space="preserve">Premium consistency signals risk aversion and financial discipline; no-claim bonus indicates careful behavior</w:t>
            </w:r>
          </w:p>
        </w:tc>
        <w:tc>
          <w:tcPr/>
          <w:p>
            <w:pPr>
              <w:pStyle w:val="Compact"/>
              <w:jc w:val="left"/>
            </w:pPr>
            <w:r>
              <w:t xml:space="preserve">Behavioral insurance literature</w:t>
            </w:r>
          </w:p>
        </w:tc>
      </w:tr>
      <w:tr>
        <w:tc>
          <w:tcPr/>
          <w:p>
            <w:pPr>
              <w:pStyle w:val="Compact"/>
              <w:jc w:val="left"/>
            </w:pPr>
            <w:r>
              <w:rPr>
                <w:b/>
                <w:bCs/>
              </w:rPr>
              <w:t xml:space="preserve">KYC Verification Depth</w:t>
            </w:r>
          </w:p>
        </w:tc>
        <w:tc>
          <w:tcPr/>
          <w:p>
            <w:pPr>
              <w:pStyle w:val="Compact"/>
              <w:jc w:val="left"/>
            </w:pPr>
            <w:r>
              <w:rPr>
                <w:b/>
                <w:bCs/>
              </w:rPr>
              <w:t xml:space="preserve">5%</w:t>
            </w:r>
          </w:p>
        </w:tc>
        <w:tc>
          <w:tcPr/>
          <w:p>
            <w:pPr>
              <w:pStyle w:val="Compact"/>
              <w:jc w:val="left"/>
            </w:pPr>
            <w:r>
              <w:t xml:space="preserve">User identity verification records</w:t>
            </w:r>
          </w:p>
        </w:tc>
        <w:tc>
          <w:tcPr/>
          <w:p>
            <w:pPr>
              <w:pStyle w:val="Compact"/>
              <w:jc w:val="left"/>
            </w:pPr>
            <w:r>
              <w:t xml:space="preserve">Verified identity reduces fraud risk; regulatory requirement for loans above KES 50,000</w:t>
            </w:r>
          </w:p>
        </w:tc>
        <w:tc>
          <w:tcPr/>
          <w:p>
            <w:pPr>
              <w:pStyle w:val="Compact"/>
              <w:jc w:val="left"/>
            </w:pPr>
            <w:r>
              <w:t xml:space="preserve">CBK DCP regulations; BoT guidelines</w:t>
            </w:r>
          </w:p>
        </w:tc>
      </w:tr>
    </w:tbl>
    <w:bookmarkEnd w:id="41"/>
    <w:bookmarkStart w:id="46" w:name="mathematical-formulation"/>
    <w:p>
      <w:pPr>
        <w:pStyle w:val="3"/>
      </w:pPr>
      <w:r>
        <w:t xml:space="preserve">4.3 Mathematical Formulation</w:t>
      </w:r>
    </w:p>
    <w:bookmarkStart w:id="42" w:name="composite-score-function"/>
    <w:p>
      <w:pPr>
        <w:pStyle w:val="4"/>
      </w:pPr>
      <w:r>
        <w:t xml:space="preserve">4.3.1 Composite Score Function</w:t>
      </w:r>
    </w:p>
    <w:p>
      <w:pPr>
        <w:pStyle w:val="FirstParagraph"/>
      </w:pPr>
      <w:r>
        <w:t xml:space="preserve">Let the seven factor sub-scores be denoted as:</w:t>
      </w:r>
    </w:p>
    <w:p>
      <w:pPr>
        <w:pStyle w:val="a0"/>
      </w:pPr>
      <m:oMathPara>
        <m:oMathParaPr>
          <m:jc m:val="center"/>
        </m:oMathParaPr>
        <m:oMath>
          <m:r>
            <m:rPr>
              <m:sty m:val="b"/>
            </m:rPr>
            <m:t>f</m:t>
          </m:r>
          <m:r>
            <m:rPr>
              <m:sty m:val="p"/>
            </m:rPr>
            <m:t>=</m:t>
          </m:r>
          <m:d>
            <m:dPr>
              <m:begChr m:val="("/>
              <m:endChr m:val=")"/>
              <m:sepChr m:val=""/>
              <m:grow/>
            </m:dPr>
            <m:e>
              <m:sSub>
                <m:e>
                  <m:r>
                    <m:t>f</m:t>
                  </m:r>
                </m:e>
                <m:sub>
                  <m:r>
                    <m:t>C</m:t>
                  </m:r>
                </m:sub>
              </m:sSub>
              <m:r>
                <m:rPr>
                  <m:sty m:val="p"/>
                </m:rPr>
                <m:t>,</m:t>
              </m:r>
              <m:sSub>
                <m:e>
                  <m:r>
                    <m:t>f</m:t>
                  </m:r>
                </m:e>
                <m:sub>
                  <m:r>
                    <m:t>M</m:t>
                  </m:r>
                </m:sub>
              </m:sSub>
              <m:r>
                <m:rPr>
                  <m:sty m:val="p"/>
                </m:rPr>
                <m:t>,</m:t>
              </m:r>
              <m:sSub>
                <m:e>
                  <m:r>
                    <m:t>f</m:t>
                  </m:r>
                </m:e>
                <m:sub>
                  <m:r>
                    <m:t>S</m:t>
                  </m:r>
                </m:sub>
              </m:sSub>
              <m:r>
                <m:rPr>
                  <m:sty m:val="p"/>
                </m:rPr>
                <m:t>,</m:t>
              </m:r>
              <m:sSub>
                <m:e>
                  <m:r>
                    <m:t>f</m:t>
                  </m:r>
                </m:e>
                <m:sub>
                  <m:r>
                    <m:t>L</m:t>
                  </m:r>
                </m:sub>
              </m:sSub>
              <m:r>
                <m:rPr>
                  <m:sty m:val="p"/>
                </m:rPr>
                <m:t>,</m:t>
              </m:r>
              <m:sSub>
                <m:e>
                  <m:r>
                    <m:t>f</m:t>
                  </m:r>
                </m:e>
                <m:sub>
                  <m:r>
                    <m:t>G</m:t>
                  </m:r>
                </m:sub>
              </m:sSub>
              <m:r>
                <m:rPr>
                  <m:sty m:val="p"/>
                </m:rPr>
                <m:t>,</m:t>
              </m:r>
              <m:sSub>
                <m:e>
                  <m:r>
                    <m:t>f</m:t>
                  </m:r>
                </m:e>
                <m:sub>
                  <m:r>
                    <m:t>I</m:t>
                  </m:r>
                </m:sub>
              </m:sSub>
              <m:r>
                <m:rPr>
                  <m:sty m:val="p"/>
                </m:rPr>
                <m:t>,</m:t>
              </m:r>
              <m:sSub>
                <m:e>
                  <m:r>
                    <m:t>f</m:t>
                  </m:r>
                </m:e>
                <m:sub>
                  <m:r>
                    <m:t>K</m:t>
                  </m:r>
                </m:sub>
              </m:sSub>
            </m:e>
          </m:d>
          <m:r>
            <m:rPr>
              <m:sty m:val="p"/>
            </m:rPr>
            <m:t>∈</m:t>
          </m:r>
          <m:sSup>
            <m:e>
              <m:d>
                <m:dPr>
                  <m:begChr m:val="["/>
                  <m:endChr m:val="]"/>
                  <m:sepChr m:val=""/>
                  <m:grow/>
                </m:dPr>
                <m:e>
                  <m:r>
                    <m:t>0</m:t>
                  </m:r>
                  <m:r>
                    <m:rPr>
                      <m:sty m:val="p"/>
                    </m:rPr>
                    <m:t>,</m:t>
                  </m:r>
                  <m:r>
                    <m:t>100</m:t>
                  </m:r>
                </m:e>
              </m:d>
            </m:e>
            <m:sup>
              <m:r>
                <m:t>7</m:t>
              </m:r>
            </m:sup>
          </m:sSup>
        </m:oMath>
      </m:oMathPara>
    </w:p>
    <w:p>
      <w:pPr>
        <w:pStyle w:val="FirstParagraph"/>
      </w:pPr>
      <w:r>
        <w:t xml:space="preserve">The</w:t>
      </w:r>
      <w:r>
        <w:t xml:space="preserve"> </w:t>
      </w:r>
      <w:r>
        <w:rPr>
          <w:b/>
          <w:bCs/>
        </w:rPr>
        <w:t xml:space="preserve">raw composite score</w:t>
      </w:r>
      <w:r>
        <w:t xml:space="preserve"> </w:t>
      </w:r>
      <w:r>
        <w:t xml:space="preserve">is the weighted sum:</w:t>
      </w:r>
    </w:p>
    <w:p>
      <w:pPr>
        <w:pStyle w:val="a0"/>
      </w:pPr>
      <m:oMathPara>
        <m:oMathParaPr>
          <m:jc m:val="center"/>
        </m:oMathParaPr>
        <m:oMath>
          <m:r>
            <m:t>R</m:t>
          </m:r>
          <m:d>
            <m:dPr>
              <m:begChr m:val="("/>
              <m:endChr m:val=")"/>
              <m:sepChr m:val=""/>
              <m:grow/>
            </m:dPr>
            <m:e>
              <m:r>
                <m:rPr>
                  <m:sty m:val="b"/>
                </m:rPr>
                <m:t>f</m:t>
              </m:r>
            </m:e>
          </m:d>
          <m:r>
            <m:rPr>
              <m:sty m:val="p"/>
            </m:rPr>
            <m:t>=</m:t>
          </m:r>
          <m:r>
            <m:t>0.20</m:t>
          </m:r>
          <m:r>
            <m:rPr>
              <m:sty m:val="p"/>
            </m:rPr>
            <m:t>⋅</m:t>
          </m:r>
          <m:sSub>
            <m:e>
              <m:r>
                <m:t>f</m:t>
              </m:r>
            </m:e>
            <m:sub>
              <m:r>
                <m:t>C</m:t>
              </m:r>
            </m:sub>
          </m:sSub>
          <m:r>
            <m:rPr>
              <m:sty m:val="p"/>
            </m:rPr>
            <m:t>+</m:t>
          </m:r>
          <m:r>
            <m:t>0.15</m:t>
          </m:r>
          <m:r>
            <m:rPr>
              <m:sty m:val="p"/>
            </m:rPr>
            <m:t>⋅</m:t>
          </m:r>
          <m:sSub>
            <m:e>
              <m:r>
                <m:t>f</m:t>
              </m:r>
            </m:e>
            <m:sub>
              <m:r>
                <m:t>M</m:t>
              </m:r>
            </m:sub>
          </m:sSub>
          <m:r>
            <m:rPr>
              <m:sty m:val="p"/>
            </m:rPr>
            <m:t>+</m:t>
          </m:r>
          <m:r>
            <m:t>0.20</m:t>
          </m:r>
          <m:r>
            <m:rPr>
              <m:sty m:val="p"/>
            </m:rPr>
            <m:t>⋅</m:t>
          </m:r>
          <m:sSub>
            <m:e>
              <m:r>
                <m:t>f</m:t>
              </m:r>
            </m:e>
            <m:sub>
              <m:r>
                <m:t>S</m:t>
              </m:r>
            </m:sub>
          </m:sSub>
          <m:r>
            <m:rPr>
              <m:sty m:val="p"/>
            </m:rPr>
            <m:t>+</m:t>
          </m:r>
          <m:r>
            <m:t>0.25</m:t>
          </m:r>
          <m:r>
            <m:rPr>
              <m:sty m:val="p"/>
            </m:rPr>
            <m:t>⋅</m:t>
          </m:r>
          <m:sSub>
            <m:e>
              <m:r>
                <m:t>f</m:t>
              </m:r>
            </m:e>
            <m:sub>
              <m:r>
                <m:t>L</m:t>
              </m:r>
            </m:sub>
          </m:sSub>
          <m:r>
            <m:rPr>
              <m:sty m:val="p"/>
            </m:rPr>
            <m:t>+</m:t>
          </m:r>
          <m:r>
            <m:t>0.10</m:t>
          </m:r>
          <m:r>
            <m:rPr>
              <m:sty m:val="p"/>
            </m:rPr>
            <m:t>⋅</m:t>
          </m:r>
          <m:sSub>
            <m:e>
              <m:r>
                <m:t>f</m:t>
              </m:r>
            </m:e>
            <m:sub>
              <m:r>
                <m:t>G</m:t>
              </m:r>
            </m:sub>
          </m:sSub>
          <m:r>
            <m:rPr>
              <m:sty m:val="p"/>
            </m:rPr>
            <m:t>+</m:t>
          </m:r>
          <m:r>
            <m:t>0.05</m:t>
          </m:r>
          <m:r>
            <m:rPr>
              <m:sty m:val="p"/>
            </m:rPr>
            <m:t>⋅</m:t>
          </m:r>
          <m:sSub>
            <m:e>
              <m:r>
                <m:t>f</m:t>
              </m:r>
            </m:e>
            <m:sub>
              <m:r>
                <m:t>I</m:t>
              </m:r>
            </m:sub>
          </m:sSub>
          <m:r>
            <m:rPr>
              <m:sty m:val="p"/>
            </m:rPr>
            <m:t>+</m:t>
          </m:r>
          <m:r>
            <m:t>0.05</m:t>
          </m:r>
          <m:r>
            <m:rPr>
              <m:sty m:val="p"/>
            </m:rPr>
            <m:t>⋅</m:t>
          </m:r>
          <m:sSub>
            <m:e>
              <m:r>
                <m:t>f</m:t>
              </m:r>
            </m:e>
            <m:sub>
              <m:r>
                <m:t>K</m:t>
              </m:r>
            </m:sub>
          </m:sSub>
        </m:oMath>
      </m:oMathPara>
    </w:p>
    <w:p>
      <w:pPr>
        <w:pStyle w:val="FirstParagraph"/>
      </w:pPr>
      <w:r>
        <w:t xml:space="preserve">The</w:t>
      </w:r>
      <w:r>
        <w:t xml:space="preserve"> </w:t>
      </w:r>
      <w:r>
        <w:rPr>
          <w:b/>
          <w:bCs/>
        </w:rPr>
        <w:t xml:space="preserve">final Trust Score</w:t>
      </w:r>
      <w:r>
        <w:t xml:space="preserve"> </w:t>
      </w:r>
      <w:r>
        <w:t xml:space="preserve">maps to the 300-850 range:</w:t>
      </w:r>
    </w:p>
    <w:p>
      <w:pPr>
        <w:pStyle w:val="a0"/>
      </w:pPr>
      <m:oMathPara>
        <m:oMathParaPr>
          <m:jc m:val="center"/>
        </m:oMathParaPr>
        <m:oMath>
          <m:r>
            <m:rPr>
              <m:nor/>
              <m:sty m:val="p"/>
            </m:rPr>
            <m:t>TrustScore</m:t>
          </m:r>
          <m:d>
            <m:dPr>
              <m:begChr m:val="("/>
              <m:endChr m:val=")"/>
              <m:sepChr m:val=""/>
              <m:grow/>
            </m:dPr>
            <m:e>
              <m:r>
                <m:rPr>
                  <m:sty m:val="b"/>
                </m:rPr>
                <m:t>f</m:t>
              </m:r>
            </m:e>
          </m:d>
          <m:r>
            <m:rPr>
              <m:sty m:val="p"/>
            </m:rPr>
            <m:t>=</m:t>
          </m:r>
          <m:r>
            <m:t>300</m:t>
          </m:r>
          <m:r>
            <m:rPr>
              <m:sty m:val="p"/>
            </m:rPr>
            <m:t>+</m:t>
          </m:r>
          <m:r>
            <m:t>5.5</m:t>
          </m:r>
          <m:r>
            <m:rPr>
              <m:sty m:val="p"/>
            </m:rPr>
            <m:t>⋅</m:t>
          </m:r>
          <m:r>
            <m:t>R</m:t>
          </m:r>
          <m:d>
            <m:dPr>
              <m:begChr m:val="("/>
              <m:endChr m:val=")"/>
              <m:sepChr m:val=""/>
              <m:grow/>
            </m:dPr>
            <m:e>
              <m:r>
                <m:rPr>
                  <m:sty m:val="b"/>
                </m:rPr>
                <m:t>f</m:t>
              </m:r>
            </m:e>
          </m:d>
        </m:oMath>
      </m:oMathPara>
    </w:p>
    <w:p>
      <w:pPr>
        <w:pStyle w:val="FirstParagraph"/>
      </w:pPr>
      <w:r>
        <w:t xml:space="preserve">This linear mapping ensures that minimum scores (all zeros) produce 300, perfect scores (all 100s) produce 850, and relative distances are preserved — a 10-point improvement in the raw composite score translates to a</w:t>
      </w:r>
      <w:r>
        <w:t xml:space="preserve"> </w:t>
      </w:r>
      <w:r>
        <w:rPr>
          <w:b/>
          <w:bCs/>
        </w:rPr>
        <w:t xml:space="preserve">55-point improvement</w:t>
      </w:r>
      <w:r>
        <w:t xml:space="preserve"> </w:t>
      </w:r>
      <w:r>
        <w:t xml:space="preserve">in the final Trust Score.</w:t>
      </w:r>
    </w:p>
    <w:bookmarkEnd w:id="42"/>
    <w:bookmarkStart w:id="43" w:name="xgboost-model-specification"/>
    <w:p>
      <w:pPr>
        <w:pStyle w:val="4"/>
      </w:pPr>
      <w:r>
        <w:t xml:space="preserve">4.3.2 XGBoost Model Specification</w:t>
      </w:r>
    </w:p>
    <w:p>
      <w:pPr>
        <w:pStyle w:val="SourceCode"/>
      </w:pPr>
      <w:r>
        <w:rPr>
          <w:rStyle w:val="VerbatimChar"/>
        </w:rPr>
        <w:t xml:space="preserve">Objective: binary:logistic</w:t>
      </w:r>
      <w:r>
        <w:br/>
      </w:r>
      <w:r>
        <w:rPr>
          <w:rStyle w:val="VerbatimChar"/>
        </w:rPr>
        <w:t xml:space="preserve">Evaluation metric: AUC-ROC</w:t>
      </w:r>
      <w:r>
        <w:br/>
      </w:r>
      <w:r>
        <w:br/>
      </w:r>
      <w:r>
        <w:rPr>
          <w:rStyle w:val="VerbatimChar"/>
        </w:rPr>
        <w:t xml:space="preserve">Hyperparameters:</w:t>
      </w:r>
      <w:r>
        <w:br/>
      </w:r>
      <w:r>
        <w:rPr>
          <w:rStyle w:val="VerbatimChar"/>
        </w:rPr>
        <w:t xml:space="preserve">  max_depth: 6</w:t>
      </w:r>
      <w:r>
        <w:br/>
      </w:r>
      <w:r>
        <w:rPr>
          <w:rStyle w:val="VerbatimChar"/>
        </w:rPr>
        <w:t xml:space="preserve">  learning_rate: 0.05</w:t>
      </w:r>
      <w:r>
        <w:br/>
      </w:r>
      <w:r>
        <w:rPr>
          <w:rStyle w:val="VerbatimChar"/>
        </w:rPr>
        <w:t xml:space="preserve">  n_estimators: 500</w:t>
      </w:r>
      <w:r>
        <w:br/>
      </w:r>
      <w:r>
        <w:rPr>
          <w:rStyle w:val="VerbatimChar"/>
        </w:rPr>
        <w:t xml:space="preserve">  min_child_weight: 3</w:t>
      </w:r>
      <w:r>
        <w:br/>
      </w:r>
      <w:r>
        <w:rPr>
          <w:rStyle w:val="VerbatimChar"/>
        </w:rPr>
        <w:t xml:space="preserve">  subsample: 0.8</w:t>
      </w:r>
      <w:r>
        <w:br/>
      </w:r>
      <w:r>
        <w:rPr>
          <w:rStyle w:val="VerbatimChar"/>
        </w:rPr>
        <w:t xml:space="preserve">  colsample_bytree: 0.8</w:t>
      </w:r>
      <w:r>
        <w:br/>
      </w:r>
      <w:r>
        <w:rPr>
          <w:rStyle w:val="VerbatimChar"/>
        </w:rPr>
        <w:t xml:space="preserve">  reg_alpha: 0.1</w:t>
      </w:r>
      <w:r>
        <w:br/>
      </w:r>
      <w:r>
        <w:rPr>
          <w:rStyle w:val="VerbatimChar"/>
        </w:rPr>
        <w:t xml:space="preserve">  reg_lambda: 1.0</w:t>
      </w:r>
      <w:r>
        <w:br/>
      </w:r>
      <w:r>
        <w:rPr>
          <w:rStyle w:val="VerbatimChar"/>
        </w:rPr>
        <w:t xml:space="preserve">  scale_pos_weight: 5.0</w:t>
      </w:r>
    </w:p>
    <w:p>
      <w:pPr>
        <w:pStyle w:val="FirstParagraph"/>
      </w:pPr>
      <w:r>
        <w:t xml:space="preserve">The</w:t>
      </w:r>
      <w:r>
        <w:t xml:space="preserve"> </w:t>
      </w:r>
      <w:r>
        <w:rPr>
          <w:b/>
          <w:bCs/>
        </w:rPr>
        <w:t xml:space="preserve">max_depth of 6</w:t>
      </w:r>
      <w:r>
        <w:t xml:space="preserve"> </w:t>
      </w:r>
      <w:r>
        <w:t xml:space="preserve">represents a deliberate trade-off between predictive capacity and interpretability. Deeper trees improve accuracy but reduce explainability; shallower trees are more interpretable but may miss important feature interactions. Depth 6 captures non-linear relationships (e.g., the interaction between chama contribution consistency and M-Pesa transaction stability) while keeping the model sufficiently simple for SHAP-based explanation.</w:t>
      </w:r>
    </w:p>
    <w:p>
      <w:pPr>
        <w:pStyle w:val="a0"/>
      </w:pPr>
      <w:r>
        <w:t xml:space="preserve">The</w:t>
      </w:r>
      <w:r>
        <w:t xml:space="preserve"> </w:t>
      </w:r>
      <w:r>
        <w:rPr>
          <w:b/>
          <w:bCs/>
        </w:rPr>
        <w:t xml:space="preserve">scale_pos_weight of 5.0</w:t>
      </w:r>
      <w:r>
        <w:t xml:space="preserve"> </w:t>
      </w:r>
      <w:r>
        <w:t xml:space="preserve">addresses class imbalance: typical microfinance default rates range from 5-15%, meaning the positive class (default) is underrepresented. The weight ensures the model pays appropriate attention to default cases during training.</w:t>
      </w:r>
    </w:p>
    <w:bookmarkEnd w:id="43"/>
    <w:bookmarkStart w:id="44" w:name="feature-engineering-pipeline"/>
    <w:p>
      <w:pPr>
        <w:pStyle w:val="4"/>
      </w:pPr>
      <w:r>
        <w:t xml:space="preserve">4.3.3 Feature Engineering Pipeline</w:t>
      </w:r>
    </w:p>
    <w:p>
      <w:pPr>
        <w:pStyle w:val="FirstParagraph"/>
      </w:pPr>
      <w:r>
        <w:t xml:space="preserve">The 25 engineered features are derived from the seven raw data sources through a structured transformation pipeline. All numerical features are</w:t>
      </w:r>
      <w:r>
        <w:t xml:space="preserve"> </w:t>
      </w:r>
      <w:r>
        <w:rPr>
          <w:b/>
          <w:bCs/>
        </w:rPr>
        <w:t xml:space="preserve">Winsorized</w:t>
      </w:r>
      <w:r>
        <w:t xml:space="preserve"> </w:t>
      </w:r>
      <w:r>
        <w:t xml:space="preserve">at the 1st and 99th percentiles and</w:t>
      </w:r>
      <w:r>
        <w:t xml:space="preserve"> </w:t>
      </w:r>
      <w:r>
        <w:rPr>
          <w:b/>
          <w:bCs/>
        </w:rPr>
        <w:t xml:space="preserve">standardized</w:t>
      </w:r>
      <w:r>
        <w:t xml:space="preserve"> </w:t>
      </w:r>
      <w:r>
        <w:t xml:space="preserve">(z-score normalization) to ensure comparable scales during model training.</w:t>
      </w:r>
    </w:p>
    <w:tbl>
      <w:tblPr>
        <w:tblStyle w:val="Table"/>
        <w:tblW w:type="pct" w:w="5000"/>
        <w:jc w:val="left"/>
        <w:tblLayout w:type="fixed"/>
        <w:tblLook w:firstRow="1" w:lastRow="0" w:firstColumn="0" w:lastColumn="0" w:noHBand="0" w:noVBand="0" w:val="0020"/>
      </w:tblPr>
      <w:tblGrid>
        <w:gridCol w:w="3261"/>
        <w:gridCol w:w="1630"/>
        <w:gridCol w:w="3028"/>
      </w:tblGrid>
      <w:tr>
        <w:trPr>
          <w:tblHeader w:val="on"/>
        </w:trPr>
        <w:tc>
          <w:tcPr/>
          <w:p>
            <w:pPr>
              <w:pStyle w:val="Compact"/>
              <w:jc w:val="left"/>
            </w:pPr>
            <w:r>
              <w:t xml:space="preserve">Feature Group</w:t>
            </w:r>
          </w:p>
        </w:tc>
        <w:tc>
          <w:tcPr/>
          <w:p>
            <w:pPr>
              <w:pStyle w:val="Compact"/>
              <w:jc w:val="left"/>
            </w:pPr>
            <w:r>
              <w:t xml:space="preserve">Count</w:t>
            </w:r>
          </w:p>
        </w:tc>
        <w:tc>
          <w:tcPr/>
          <w:p>
            <w:pPr>
              <w:pStyle w:val="Compact"/>
              <w:jc w:val="left"/>
            </w:pPr>
            <w:r>
              <w:t xml:space="preserve">Key Features</w:t>
            </w:r>
          </w:p>
        </w:tc>
      </w:tr>
      <w:tr>
        <w:tc>
          <w:tcPr/>
          <w:p>
            <w:pPr>
              <w:pStyle w:val="Compact"/>
              <w:jc w:val="left"/>
            </w:pPr>
            <w:r>
              <w:t xml:space="preserve">Chama behavior</w:t>
            </w:r>
          </w:p>
        </w:tc>
        <w:tc>
          <w:tcPr/>
          <w:p>
            <w:pPr>
              <w:pStyle w:val="Compact"/>
              <w:jc w:val="left"/>
            </w:pPr>
            <w:r>
              <w:t xml:space="preserve">5</w:t>
            </w:r>
          </w:p>
        </w:tc>
        <w:tc>
          <w:tcPr/>
          <w:p>
            <w:pPr>
              <w:pStyle w:val="Compact"/>
              <w:jc w:val="left"/>
            </w:pPr>
            <w:r>
              <w:t xml:space="preserve">Contribution frequency, amount consistency, group tenure, officer status, group size</w:t>
            </w:r>
          </w:p>
        </w:tc>
      </w:tr>
      <w:tr>
        <w:tc>
          <w:tcPr/>
          <w:p>
            <w:pPr>
              <w:pStyle w:val="Compact"/>
              <w:jc w:val="left"/>
            </w:pPr>
            <w:r>
              <w:t xml:space="preserve">M-Pesa activity</w:t>
            </w:r>
          </w:p>
        </w:tc>
        <w:tc>
          <w:tcPr/>
          <w:p>
            <w:pPr>
              <w:pStyle w:val="Compact"/>
              <w:jc w:val="left"/>
            </w:pPr>
            <w:r>
              <w:t xml:space="preserve">5</w:t>
            </w:r>
          </w:p>
        </w:tc>
        <w:tc>
          <w:tcPr/>
          <w:p>
            <w:pPr>
              <w:pStyle w:val="Compact"/>
              <w:jc w:val="left"/>
            </w:pPr>
            <w:r>
              <w:t xml:space="preserve">Transaction frequency, volume coefficient of variation, balance stability, digital diversity index, airtime-to-transaction ratio</w:t>
            </w:r>
          </w:p>
        </w:tc>
      </w:tr>
      <w:tr>
        <w:tc>
          <w:tcPr/>
          <w:p>
            <w:pPr>
              <w:pStyle w:val="Compact"/>
              <w:jc w:val="left"/>
            </w:pPr>
            <w:r>
              <w:t xml:space="preserve">Soko performance</w:t>
            </w:r>
          </w:p>
        </w:tc>
        <w:tc>
          <w:tcPr/>
          <w:p>
            <w:pPr>
              <w:pStyle w:val="Compact"/>
              <w:jc w:val="left"/>
            </w:pPr>
            <w:r>
              <w:t xml:space="preserve">4</w:t>
            </w:r>
          </w:p>
        </w:tc>
        <w:tc>
          <w:tcPr/>
          <w:p>
            <w:pPr>
              <w:pStyle w:val="Compact"/>
              <w:jc w:val="left"/>
            </w:pPr>
            <w:r>
              <w:t xml:space="preserve">Monthly GMV, customer rating average, fulfillment rate, inventory turnover days</w:t>
            </w:r>
          </w:p>
        </w:tc>
      </w:tr>
      <w:tr>
        <w:tc>
          <w:tcPr/>
          <w:p>
            <w:pPr>
              <w:pStyle w:val="Compact"/>
              <w:jc w:val="left"/>
            </w:pPr>
            <w:r>
              <w:t xml:space="preserve">Loan history</w:t>
            </w:r>
          </w:p>
        </w:tc>
        <w:tc>
          <w:tcPr/>
          <w:p>
            <w:pPr>
              <w:pStyle w:val="Compact"/>
              <w:jc w:val="left"/>
            </w:pPr>
            <w:r>
              <w:t xml:space="preserve">4</w:t>
            </w:r>
          </w:p>
        </w:tc>
        <w:tc>
          <w:tcPr/>
          <w:p>
            <w:pPr>
              <w:pStyle w:val="Compact"/>
              <w:jc w:val="left"/>
            </w:pPr>
            <w:r>
              <w:t xml:space="preserve">Repayment rate, credit utilization ratio, active loan count, days since last default</w:t>
            </w:r>
          </w:p>
        </w:tc>
      </w:tr>
      <w:tr>
        <w:tc>
          <w:tcPr/>
          <w:p>
            <w:pPr>
              <w:pStyle w:val="Compact"/>
              <w:jc w:val="left"/>
            </w:pPr>
            <w:r>
              <w:t xml:space="preserve">Gig work</w:t>
            </w:r>
          </w:p>
        </w:tc>
        <w:tc>
          <w:tcPr/>
          <w:p>
            <w:pPr>
              <w:pStyle w:val="Compact"/>
              <w:jc w:val="left"/>
            </w:pPr>
            <w:r>
              <w:t xml:space="preserve">3</w:t>
            </w:r>
          </w:p>
        </w:tc>
        <w:tc>
          <w:tcPr/>
          <w:p>
            <w:pPr>
              <w:pStyle w:val="Compact"/>
              <w:jc w:val="left"/>
            </w:pPr>
            <w:r>
              <w:t xml:space="preserve">Completion rate, employer rating average, income coefficient of variation</w:t>
            </w:r>
          </w:p>
        </w:tc>
      </w:tr>
      <w:tr>
        <w:tc>
          <w:tcPr/>
          <w:p>
            <w:pPr>
              <w:pStyle w:val="Compact"/>
              <w:jc w:val="left"/>
            </w:pPr>
            <w:r>
              <w:t xml:space="preserve">Insurance</w:t>
            </w:r>
          </w:p>
        </w:tc>
        <w:tc>
          <w:tcPr/>
          <w:p>
            <w:pPr>
              <w:pStyle w:val="Compact"/>
              <w:jc w:val="left"/>
            </w:pPr>
            <w:r>
              <w:t xml:space="preserve">2</w:t>
            </w:r>
          </w:p>
        </w:tc>
        <w:tc>
          <w:tcPr/>
          <w:p>
            <w:pPr>
              <w:pStyle w:val="Compact"/>
              <w:jc w:val="left"/>
            </w:pPr>
            <w:r>
              <w:t xml:space="preserve">Premium consistency percentage, policy tenure months</w:t>
            </w:r>
          </w:p>
        </w:tc>
      </w:tr>
      <w:tr>
        <w:tc>
          <w:tcPr/>
          <w:p>
            <w:pPr>
              <w:pStyle w:val="Compact"/>
              <w:jc w:val="left"/>
            </w:pPr>
            <w:r>
              <w:t xml:space="preserve">KYC</w:t>
            </w:r>
          </w:p>
        </w:tc>
        <w:tc>
          <w:tcPr/>
          <w:p>
            <w:pPr>
              <w:pStyle w:val="Compact"/>
              <w:jc w:val="left"/>
            </w:pPr>
            <w:r>
              <w:t xml:space="preserve">2</w:t>
            </w:r>
          </w:p>
        </w:tc>
        <w:tc>
          <w:tcPr/>
          <w:p>
            <w:pPr>
              <w:pStyle w:val="Compact"/>
              <w:jc w:val="left"/>
            </w:pPr>
            <w:r>
              <w:t xml:space="preserve">Verification tier (1/2/3), days since last KYC update</w:t>
            </w:r>
          </w:p>
        </w:tc>
      </w:tr>
    </w:tbl>
    <w:bookmarkEnd w:id="44"/>
    <w:bookmarkStart w:id="45" w:name="probability-to-score-mapping"/>
    <w:p>
      <w:pPr>
        <w:pStyle w:val="4"/>
      </w:pPr>
      <w:r>
        <w:t xml:space="preserve">4.3.4 Probability-to-Score Mapping</w:t>
      </w:r>
    </w:p>
    <w:p>
      <w:pPr>
        <w:pStyle w:val="FirstParagraph"/>
      </w:pPr>
      <w:r>
        <w:t xml:space="preserve">The XGBoost model outputs a default probability</w:t>
      </w:r>
      <w:r>
        <w:t xml:space="preserve"> </w:t>
      </w:r>
      <m:oMath>
        <m:r>
          <m:t>p</m:t>
        </m:r>
        <m:r>
          <m:rPr>
            <m:sty m:val="p"/>
          </m:rPr>
          <m:t>∈</m:t>
        </m:r>
        <m:d>
          <m:dPr>
            <m:begChr m:val="["/>
            <m:endChr m:val="]"/>
            <m:sepChr m:val=""/>
            <m:grow/>
          </m:dPr>
          <m:e>
            <m:r>
              <m:t>0</m:t>
            </m:r>
            <m:r>
              <m:rPr>
                <m:sty m:val="p"/>
              </m:rPr>
              <m:t>,</m:t>
            </m:r>
            <m:r>
              <m:t>1</m:t>
            </m:r>
          </m:e>
        </m:d>
      </m:oMath>
      <w:r>
        <w:t xml:space="preserve">. This is transformed to the Trust Score range via a</w:t>
      </w:r>
      <w:r>
        <w:t xml:space="preserve"> </w:t>
      </w:r>
      <w:r>
        <w:rPr>
          <w:b/>
          <w:bCs/>
        </w:rPr>
        <w:t xml:space="preserve">sigmoid mapping</w:t>
      </w:r>
      <w:r>
        <w:t xml:space="preserve">:</w:t>
      </w:r>
    </w:p>
    <w:p>
      <w:pPr>
        <w:pStyle w:val="a0"/>
      </w:pPr>
      <m:oMathPara>
        <m:oMathParaPr>
          <m:jc m:val="center"/>
        </m:oMathParaPr>
        <m:oMath>
          <m:r>
            <m:rPr>
              <m:nor/>
              <m:sty m:val="p"/>
            </m:rPr>
            <m:t>TrustScore</m:t>
          </m:r>
          <m:r>
            <m:rPr>
              <m:sty m:val="p"/>
            </m:rPr>
            <m:t>=</m:t>
          </m:r>
          <m:r>
            <m:t>300</m:t>
          </m:r>
          <m:r>
            <m:rPr>
              <m:sty m:val="p"/>
            </m:rPr>
            <m:t>+</m:t>
          </m:r>
          <m:r>
            <m:t>550</m:t>
          </m:r>
          <m:r>
            <m:rPr>
              <m:sty m:val="p"/>
            </m:rPr>
            <m:t>×</m:t>
          </m:r>
          <m:f>
            <m:fPr>
              <m:type m:val="bar"/>
            </m:fPr>
            <m:num>
              <m:r>
                <m:t>1</m:t>
              </m:r>
            </m:num>
            <m:den>
              <m:r>
                <m:t>1</m:t>
              </m:r>
              <m:r>
                <m:rPr>
                  <m:sty m:val="p"/>
                </m:rPr>
                <m:t>+</m:t>
              </m:r>
              <m:sSup>
                <m:e>
                  <m:r>
                    <m:t>e</m:t>
                  </m:r>
                </m:e>
                <m:sup>
                  <m:r>
                    <m:rPr>
                      <m:sty m:val="p"/>
                    </m:rPr>
                    <m:t>−</m:t>
                  </m:r>
                  <m:r>
                    <m:t>k</m:t>
                  </m:r>
                  <m:d>
                    <m:dPr>
                      <m:begChr m:val="("/>
                      <m:endChr m:val=")"/>
                      <m:sepChr m:val=""/>
                      <m:grow/>
                    </m:dPr>
                    <m:e>
                      <m:r>
                        <m:t>0.5</m:t>
                      </m:r>
                      <m:r>
                        <m:rPr>
                          <m:sty m:val="p"/>
                        </m:rPr>
                        <m:t>−</m:t>
                      </m:r>
                      <m:r>
                        <m:t>p</m:t>
                      </m:r>
                    </m:e>
                  </m:d>
                </m:sup>
              </m:sSup>
            </m:den>
          </m:f>
        </m:oMath>
      </m:oMathPara>
    </w:p>
    <w:p>
      <w:pPr>
        <w:pStyle w:val="FirstParagraph"/>
      </w:pPr>
      <w:r>
        <w:t xml:space="preserve">Where</w:t>
      </w:r>
      <w:r>
        <w:t xml:space="preserve"> </w:t>
      </w:r>
      <m:oMath>
        <m:r>
          <m:t>k</m:t>
        </m:r>
        <m:r>
          <m:rPr>
            <m:sty m:val="p"/>
          </m:rPr>
          <m:t>=</m:t>
        </m:r>
        <m:r>
          <m:t>6</m:t>
        </m:r>
      </m:oMath>
      <w:r>
        <w:t xml:space="preserve"> </w:t>
      </w:r>
      <w:r>
        <w:t xml:space="preserve">controls the steepness. The sigmoid shape compresses the tails (preventing extreme scores for marginally different probabilities) while maintaining discrimination in the critical middle range where most lending decisions occur.</w:t>
      </w:r>
    </w:p>
    <w:bookmarkEnd w:id="45"/>
    <w:bookmarkEnd w:id="46"/>
    <w:bookmarkStart w:id="47" w:name="explainability-framework"/>
    <w:p>
      <w:pPr>
        <w:pStyle w:val="3"/>
      </w:pPr>
      <w:r>
        <w:t xml:space="preserve">4.4 Explainability Framework</w:t>
      </w:r>
    </w:p>
    <w:p>
      <w:pPr>
        <w:pStyle w:val="FirstParagraph"/>
      </w:pPr>
      <w:r>
        <w:t xml:space="preserve">The Trust Engine implements a</w:t>
      </w:r>
      <w:r>
        <w:t xml:space="preserve"> </w:t>
      </w:r>
      <w:r>
        <w:rPr>
          <w:b/>
          <w:bCs/>
        </w:rPr>
        <w:t xml:space="preserve">three-level explainability framework</w:t>
      </w:r>
      <w:r>
        <w:t xml:space="preserve"> </w:t>
      </w:r>
      <w:r>
        <w:t xml:space="preserve">powered by TreeSHAP:</w:t>
      </w:r>
    </w:p>
    <w:p>
      <w:pPr>
        <w:pStyle w:val="a0"/>
      </w:pPr>
      <w:r>
        <w:rPr>
          <w:b/>
          <w:bCs/>
        </w:rPr>
        <w:t xml:space="preserve">Level 1 — Global Feature Importance:</w:t>
      </w:r>
      <w:r>
        <w:t xml:space="preserve"> </w:t>
      </w:r>
      <w:r>
        <w:t xml:space="preserve">Aggregate SHAP values across all users reveal which features drive credit scores platform-wide. This enables product teams to validate that the model relies on sensible behavioral signals rather than spurious correlations.</w:t>
      </w:r>
    </w:p>
    <w:p>
      <w:pPr>
        <w:pStyle w:val="a0"/>
      </w:pPr>
      <w:r>
        <w:rPr>
          <w:b/>
          <w:bCs/>
        </w:rPr>
        <w:t xml:space="preserve">Level 2 — Individual Factor Breakdown:</w:t>
      </w:r>
      <w:r>
        <w:t xml:space="preserve"> </w:t>
      </w:r>
      <w:r>
        <w:t xml:space="preserve">Each user sees their seven factor sub-scores with color-coded contribution bars, answering:</w:t>
      </w:r>
      <w:r>
        <w:t xml:space="preserve"> </w:t>
      </w:r>
      <w:r>
        <w:t xml:space="preserve">“</w:t>
      </w:r>
      <w:r>
        <w:t xml:space="preserve">Why is MY score what it is?</w:t>
      </w:r>
      <w:r>
        <w:t xml:space="preserve">”</w:t>
      </w:r>
      <w:r>
        <w:t xml:space="preserve"> </w:t>
      </w:r>
      <w:r>
        <w:t xml:space="preserve">This is the primary user-facing explanation, designed for mobile-first presentation with minimal text.</w:t>
      </w:r>
    </w:p>
    <w:p>
      <w:pPr>
        <w:pStyle w:val="a0"/>
      </w:pPr>
      <w:r>
        <w:rPr>
          <w:b/>
          <w:bCs/>
        </w:rPr>
        <w:t xml:space="preserve">Level 3 — Feature-Level SHAP Values:</w:t>
      </w:r>
      <w:r>
        <w:t xml:space="preserve"> </w:t>
      </w:r>
      <w:r>
        <w:t xml:space="preserve">For customer support and power users, granular SHAP values for all 25 features show the direction and magnitude of each feature’s contribution, enabling targeted behavioral advice (</w:t>
      </w:r>
      <w:r>
        <w:t xml:space="preserve">“</w:t>
      </w:r>
      <w:r>
        <w:t xml:space="preserve">Increase your chama contribution consistency from 60% to 80% and your score could improve by 45 points</w:t>
      </w:r>
      <w:r>
        <w:t xml:space="preserve">”</w:t>
      </w:r>
      <w:r>
        <w:t xml:space="preserve">).</w:t>
      </w:r>
    </w:p>
    <w:p>
      <w:pPr>
        <w:pStyle w:val="a0"/>
      </w:pPr>
      <w:r>
        <w:t xml:space="preserve">The mathematical foundation of SHAP values is grounded in cooperative game theory. For a prediction model</w:t>
      </w:r>
      <w:r>
        <w:t xml:space="preserve"> </w:t>
      </w:r>
      <m:oMath>
        <m:r>
          <m:t>f</m:t>
        </m:r>
      </m:oMath>
      <w:r>
        <w:t xml:space="preserve"> </w:t>
      </w:r>
      <w:r>
        <w:t xml:space="preserve">and instance</w:t>
      </w:r>
      <w:r>
        <w:t xml:space="preserve"> </w:t>
      </w:r>
      <m:oMath>
        <m:r>
          <m:rPr>
            <m:sty m:val="b"/>
          </m:rPr>
          <m:t>x</m:t>
        </m:r>
      </m:oMath>
      <w:r>
        <w:t xml:space="preserve">, the SHAP value</w:t>
      </w:r>
      <w:r>
        <w:t xml:space="preserve"> </w:t>
      </w:r>
      <m:oMath>
        <m:sSub>
          <m:e>
            <m:r>
              <m:t>ϕ</m:t>
            </m:r>
          </m:e>
          <m:sub>
            <m:r>
              <m:t>j</m:t>
            </m:r>
          </m:sub>
        </m:sSub>
        <m:d>
          <m:dPr>
            <m:begChr m:val="("/>
            <m:endChr m:val=")"/>
            <m:sepChr m:val=""/>
            <m:grow/>
          </m:dPr>
          <m:e>
            <m:r>
              <m:t>f</m:t>
            </m:r>
            <m:r>
              <m:rPr>
                <m:sty m:val="p"/>
              </m:rPr>
              <m:t>,</m:t>
            </m:r>
            <m:r>
              <m:rPr>
                <m:sty m:val="b"/>
              </m:rPr>
              <m:t>x</m:t>
            </m:r>
          </m:e>
        </m:d>
      </m:oMath>
      <w:r>
        <w:t xml:space="preserve"> </w:t>
      </w:r>
      <w:r>
        <w:t xml:space="preserve">for feature</w:t>
      </w:r>
      <w:r>
        <w:t xml:space="preserve"> </w:t>
      </w:r>
      <m:oMath>
        <m:r>
          <m:t>j</m:t>
        </m:r>
      </m:oMath>
      <w:r>
        <w:t xml:space="preserve"> </w:t>
      </w:r>
      <w:r>
        <w:t xml:space="preserve">is:</w:t>
      </w:r>
    </w:p>
    <w:p>
      <w:pPr>
        <w:pStyle w:val="a0"/>
      </w:pPr>
      <m:oMathPara>
        <m:oMathParaPr>
          <m:jc m:val="center"/>
        </m:oMathParaPr>
        <m:oMath>
          <m:sSub>
            <m:e>
              <m:r>
                <m:t>ϕ</m:t>
              </m:r>
            </m:e>
            <m:sub>
              <m:r>
                <m:t>j</m:t>
              </m:r>
            </m:sub>
          </m:sSub>
          <m:d>
            <m:dPr>
              <m:begChr m:val="("/>
              <m:endChr m:val=")"/>
              <m:sepChr m:val=""/>
              <m:grow/>
            </m:dPr>
            <m:e>
              <m:r>
                <m:t>f</m:t>
              </m:r>
              <m:r>
                <m:rPr>
                  <m:sty m:val="p"/>
                </m:rPr>
                <m:t>,</m:t>
              </m:r>
              <m:r>
                <m:rPr>
                  <m:sty m:val="b"/>
                </m:rPr>
                <m:t>x</m:t>
              </m:r>
            </m:e>
          </m:d>
          <m:r>
            <m:rPr>
              <m:sty m:val="p"/>
            </m:rPr>
            <m:t>=</m:t>
          </m:r>
          <m:nary>
            <m:naryPr>
              <m:chr m:val="∑"/>
              <m:limLoc m:val="undOvr"/>
              <m:subHide m:val="off"/>
              <m:supHide m:val="on"/>
            </m:naryPr>
            <m:sub>
              <m:r>
                <m:t>S</m:t>
              </m:r>
              <m:r>
                <m:rPr>
                  <m:sty m:val="p"/>
                </m:rPr>
                <m:t>⊆</m:t>
              </m:r>
              <m:r>
                <m:t>N</m:t>
              </m:r>
              <m:r>
                <m:rPr>
                  <m:sty m:val="p"/>
                </m:rPr>
                <m:t>\</m:t>
              </m:r>
              <m:r>
                <m:rPr>
                  <m:sty m:val="p"/>
                </m:rPr>
                <m:t>{</m:t>
              </m:r>
              <m:r>
                <m:t>j</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N</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N</m:t>
                      </m:r>
                    </m:e>
                  </m:d>
                  <m:r>
                    <m:rPr>
                      <m:sty m:val="p"/>
                    </m:rPr>
                    <m:t>!</m:t>
                  </m:r>
                </m:den>
              </m:f>
            </m:e>
          </m:nary>
          <m:d>
            <m:dPr>
              <m:begChr m:val="["/>
              <m:endChr m:val="]"/>
              <m:sepChr m:val=""/>
              <m:grow/>
            </m:dPr>
            <m:e>
              <m:sSub>
                <m:e>
                  <m:r>
                    <m:t>f</m:t>
                  </m:r>
                </m:e>
                <m:sub>
                  <m:r>
                    <m:t>S</m:t>
                  </m:r>
                  <m:r>
                    <m:rPr>
                      <m:sty m:val="p"/>
                    </m:rPr>
                    <m:t>∪</m:t>
                  </m:r>
                  <m:r>
                    <m:rPr>
                      <m:sty m:val="p"/>
                    </m:rPr>
                    <m:t>{</m:t>
                  </m:r>
                  <m:r>
                    <m:t>j</m:t>
                  </m:r>
                  <m:r>
                    <m:rPr>
                      <m:sty m:val="p"/>
                    </m:rPr>
                    <m:t>}</m:t>
                  </m:r>
                </m:sub>
              </m:sSub>
              <m:d>
                <m:dPr>
                  <m:begChr m:val="("/>
                  <m:endChr m:val=")"/>
                  <m:sepChr m:val=""/>
                  <m:grow/>
                </m:dPr>
                <m:e>
                  <m:sSub>
                    <m:e>
                      <m:r>
                        <m:rPr>
                          <m:sty m:val="b"/>
                        </m:rPr>
                        <m:t>x</m:t>
                      </m:r>
                    </m:e>
                    <m:sub>
                      <m:r>
                        <m:t>S</m:t>
                      </m:r>
                      <m:r>
                        <m:rPr>
                          <m:sty m:val="p"/>
                        </m:rPr>
                        <m:t>∪</m:t>
                      </m:r>
                      <m:r>
                        <m:rPr>
                          <m:sty m:val="p"/>
                        </m:rPr>
                        <m:t>{</m:t>
                      </m:r>
                      <m:r>
                        <m:t>j</m:t>
                      </m:r>
                      <m:r>
                        <m:rPr>
                          <m:sty m:val="p"/>
                        </m:rPr>
                        <m:t>}</m:t>
                      </m:r>
                    </m:sub>
                  </m:sSub>
                </m:e>
              </m:d>
              <m:r>
                <m:rPr>
                  <m:sty m:val="p"/>
                </m:rPr>
                <m:t>−</m:t>
              </m:r>
              <m:sSub>
                <m:e>
                  <m:r>
                    <m:t>f</m:t>
                  </m:r>
                </m:e>
                <m:sub>
                  <m:r>
                    <m:t>S</m:t>
                  </m:r>
                </m:sub>
              </m:sSub>
              <m:d>
                <m:dPr>
                  <m:begChr m:val="("/>
                  <m:endChr m:val=")"/>
                  <m:sepChr m:val=""/>
                  <m:grow/>
                </m:dPr>
                <m:e>
                  <m:sSub>
                    <m:e>
                      <m:r>
                        <m:rPr>
                          <m:sty m:val="b"/>
                        </m:rPr>
                        <m:t>x</m:t>
                      </m:r>
                    </m:e>
                    <m:sub>
                      <m:r>
                        <m:t>S</m:t>
                      </m:r>
                    </m:sub>
                  </m:sSub>
                </m:e>
              </m:d>
            </m:e>
          </m:d>
        </m:oMath>
      </m:oMathPara>
    </w:p>
    <w:p>
      <w:pPr>
        <w:pStyle w:val="FirstParagraph"/>
      </w:pPr>
      <w:r>
        <w:t xml:space="preserve">For tree-based models, TreeSHAP computes these values exactly in</w:t>
      </w:r>
      <w:r>
        <w:t xml:space="preserve"> </w:t>
      </w:r>
      <m:oMath>
        <m:r>
          <m:t>O</m:t>
        </m:r>
        <m:d>
          <m:dPr>
            <m:begChr m:val="("/>
            <m:endChr m:val=")"/>
            <m:sepChr m:val=""/>
            <m:grow/>
          </m:dPr>
          <m:e>
            <m:r>
              <m:t>T</m:t>
            </m:r>
            <m:r>
              <m:t>L</m:t>
            </m:r>
            <m:sSup>
              <m:e>
                <m:r>
                  <m:t>D</m:t>
                </m:r>
              </m:e>
              <m:sup>
                <m:r>
                  <m:t>2</m:t>
                </m:r>
              </m:sup>
            </m:sSup>
          </m:e>
        </m:d>
      </m:oMath>
      <w:r>
        <w:t xml:space="preserve"> </w:t>
      </w:r>
      <w:r>
        <w:t xml:space="preserve">time — sub-millisecond per user for the Trust Engine’s configuration.</w:t>
      </w:r>
    </w:p>
    <w:bookmarkEnd w:id="47"/>
    <w:bookmarkStart w:id="48" w:name="fairness-architecture"/>
    <w:p>
      <w:pPr>
        <w:pStyle w:val="3"/>
      </w:pPr>
      <w:r>
        <w:t xml:space="preserve">4.5 Fairness Architecture</w:t>
      </w:r>
    </w:p>
    <w:p>
      <w:pPr>
        <w:pStyle w:val="FirstParagraph"/>
      </w:pPr>
      <w:r>
        <w:t xml:space="preserve">The Trust Engine implements fairness at three levels, addressing the documented risk that alternative data models can encode and amplify existing inequalities:</w:t>
      </w:r>
    </w:p>
    <w:p>
      <w:pPr>
        <w:pStyle w:val="a0"/>
      </w:pPr>
      <w:r>
        <w:rPr>
          <w:b/>
          <w:bCs/>
        </w:rPr>
        <w:t xml:space="preserve">Level 1 — Excluded Features (Hard Constraints):</w:t>
      </w:r>
      <w:r>
        <w:t xml:space="preserve"> </w:t>
      </w:r>
      <w:r>
        <w:t xml:space="preserve">Gender, ethnicity/tribe, religion, marital status, precise geographic location, and age (beyond binary adult/minor classification) are explicitly excluded from the scoring model. These features are not collected, not stored, and not used in any computation. This aligns with Kenya’s Data Protection Act 2019 (Section 44) and Tanzania’s Personal Data Protection Act 2022.</w:t>
      </w:r>
    </w:p>
    <w:p>
      <w:pPr>
        <w:pStyle w:val="a0"/>
      </w:pPr>
      <w:r>
        <w:rPr>
          <w:b/>
          <w:bCs/>
        </w:rPr>
        <w:t xml:space="preserve">Level 2 — Fairness-Aware Training:</w:t>
      </w:r>
      <w:r>
        <w:t xml:space="preserve"> </w:t>
      </w:r>
      <w:r>
        <w:t xml:space="preserve">The XGBoost model is trained with demographic parity constraints ensuring that average predicted default probability for female users equals that for male users (conditional on actual default rates). This is implemented through the FairXGBoost approach, which modifies the gradient boosting objective to penalize demographic disparity.</w:t>
      </w:r>
    </w:p>
    <w:p>
      <w:pPr>
        <w:pStyle w:val="a0"/>
      </w:pPr>
      <w:r>
        <w:rPr>
          <w:b/>
          <w:bCs/>
        </w:rPr>
        <w:t xml:space="preserve">Level 3 — Automated Bias Auditing:</w:t>
      </w:r>
      <w:r>
        <w:t xml:space="preserve"> </w:t>
      </w:r>
      <w:r>
        <w:t xml:space="preserve">A monthly pipeline generates reports on score distribution by gender, geography, and age cohort. Thresholds: &lt;10 point mean difference by gender, &lt;15 points by urban/rural, disparate impact ratio &gt;0.8 for all protected groups. Violations trigger automatic model retraining.</w:t>
      </w:r>
    </w:p>
    <w:bookmarkEnd w:id="48"/>
    <w:bookmarkStart w:id="49" w:name="performance-benchmarks"/>
    <w:p>
      <w:pPr>
        <w:pStyle w:val="3"/>
      </w:pPr>
      <w:r>
        <w:t xml:space="preserve">4.6 Performance Benchmarks</w:t>
      </w:r>
    </w:p>
    <w:tbl>
      <w:tblPr>
        <w:tblStyle w:val="Table"/>
        <w:tblW w:type="pct" w:w="5000"/>
        <w:jc w:val="left"/>
        <w:tblLayout w:type="fixed"/>
        <w:tblLook w:firstRow="1" w:lastRow="0" w:firstColumn="0" w:lastColumn="0" w:noHBand="0" w:noVBand="0" w:val="0020"/>
      </w:tblPr>
      <w:tblGrid>
        <w:gridCol w:w="1038"/>
        <w:gridCol w:w="1038"/>
        <w:gridCol w:w="2466"/>
        <w:gridCol w:w="3375"/>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Current (Frontend)</w:t>
            </w:r>
          </w:p>
        </w:tc>
        <w:tc>
          <w:tcPr/>
          <w:p>
            <w:pPr>
              <w:pStyle w:val="Compact"/>
              <w:jc w:val="left"/>
            </w:pPr>
            <w:r>
              <w:t xml:space="preserve">Production (Post-Backend)</w:t>
            </w:r>
          </w:p>
        </w:tc>
      </w:tr>
      <w:tr>
        <w:tc>
          <w:tcPr/>
          <w:p>
            <w:pPr>
              <w:pStyle w:val="Compact"/>
              <w:jc w:val="left"/>
            </w:pPr>
            <w:r>
              <w:t xml:space="preserve">Score calculation latency</w:t>
            </w:r>
          </w:p>
        </w:tc>
        <w:tc>
          <w:tcPr/>
          <w:p>
            <w:pPr>
              <w:pStyle w:val="Compact"/>
              <w:jc w:val="left"/>
            </w:pPr>
            <w:r>
              <w:t xml:space="preserve">&lt; 5 seconds</w:t>
            </w:r>
          </w:p>
        </w:tc>
        <w:tc>
          <w:tcPr/>
          <w:p>
            <w:pPr>
              <w:pStyle w:val="Compact"/>
              <w:jc w:val="left"/>
            </w:pPr>
            <w:r>
              <w:t xml:space="preserve">~2s (in-browser)</w:t>
            </w:r>
          </w:p>
        </w:tc>
        <w:tc>
          <w:tcPr/>
          <w:p>
            <w:pPr>
              <w:pStyle w:val="Compact"/>
              <w:jc w:val="left"/>
            </w:pPr>
            <w:r>
              <w:t xml:space="preserve">&lt; 3s (API)</w:t>
            </w:r>
          </w:p>
        </w:tc>
      </w:tr>
      <w:tr>
        <w:tc>
          <w:tcPr/>
          <w:p>
            <w:pPr>
              <w:pStyle w:val="Compact"/>
              <w:jc w:val="left"/>
            </w:pPr>
            <w:r>
              <w:t xml:space="preserve">Loan eligibility response</w:t>
            </w:r>
          </w:p>
        </w:tc>
        <w:tc>
          <w:tcPr/>
          <w:p>
            <w:pPr>
              <w:pStyle w:val="Compact"/>
              <w:jc w:val="left"/>
            </w:pPr>
            <w:r>
              <w:t xml:space="preserve">&lt; 500 ms</w:t>
            </w:r>
          </w:p>
        </w:tc>
        <w:tc>
          <w:tcPr/>
          <w:p>
            <w:pPr>
              <w:pStyle w:val="Compact"/>
              <w:jc w:val="left"/>
            </w:pPr>
            <w:r>
              <w:t xml:space="preserve">N/A</w:t>
            </w:r>
          </w:p>
        </w:tc>
        <w:tc>
          <w:tcPr/>
          <w:p>
            <w:pPr>
              <w:pStyle w:val="Compact"/>
              <w:jc w:val="left"/>
            </w:pPr>
            <w:r>
              <w:t xml:space="preserve">&lt; 300 ms (cached)</w:t>
            </w:r>
          </w:p>
        </w:tc>
      </w:tr>
      <w:tr>
        <w:tc>
          <w:tcPr/>
          <w:p>
            <w:pPr>
              <w:pStyle w:val="Compact"/>
              <w:jc w:val="left"/>
            </w:pPr>
            <w:r>
              <w:t xml:space="preserve">SHAP explanation generation</w:t>
            </w:r>
          </w:p>
        </w:tc>
        <w:tc>
          <w:tcPr/>
          <w:p>
            <w:pPr>
              <w:pStyle w:val="Compact"/>
              <w:jc w:val="left"/>
            </w:pPr>
            <w:r>
              <w:t xml:space="preserve">&lt; 100 ms</w:t>
            </w:r>
          </w:p>
        </w:tc>
        <w:tc>
          <w:tcPr/>
          <w:p>
            <w:pPr>
              <w:pStyle w:val="Compact"/>
              <w:jc w:val="left"/>
            </w:pPr>
            <w:r>
              <w:t xml:space="preserve">N/A</w:t>
            </w:r>
          </w:p>
        </w:tc>
        <w:tc>
          <w:tcPr/>
          <w:p>
            <w:pPr>
              <w:pStyle w:val="Compact"/>
              <w:jc w:val="left"/>
            </w:pPr>
            <w:r>
              <w:t xml:space="preserve">&lt; 50 ms</w:t>
            </w:r>
          </w:p>
        </w:tc>
      </w:tr>
      <w:tr>
        <w:tc>
          <w:tcPr/>
          <w:p>
            <w:pPr>
              <w:pStyle w:val="Compact"/>
              <w:jc w:val="left"/>
            </w:pPr>
            <w:r>
              <w:t xml:space="preserve">Concurrent users</w:t>
            </w:r>
          </w:p>
        </w:tc>
        <w:tc>
          <w:tcPr/>
          <w:p>
            <w:pPr>
              <w:pStyle w:val="Compact"/>
              <w:jc w:val="left"/>
            </w:pPr>
            <w:r>
              <w:t xml:space="preserve">10,000+</w:t>
            </w:r>
          </w:p>
        </w:tc>
        <w:tc>
          <w:tcPr/>
          <w:p>
            <w:pPr>
              <w:pStyle w:val="Compact"/>
              <w:jc w:val="left"/>
            </w:pPr>
            <w:r>
              <w:t xml:space="preserve">N/A</w:t>
            </w:r>
          </w:p>
        </w:tc>
        <w:tc>
          <w:tcPr/>
          <w:p>
            <w:pPr>
              <w:pStyle w:val="Compact"/>
              <w:jc w:val="left"/>
            </w:pPr>
            <w:r>
              <w:t xml:space="preserve">50,000+</w:t>
            </w:r>
          </w:p>
        </w:tc>
      </w:tr>
      <w:tr>
        <w:tc>
          <w:tcPr/>
          <w:p>
            <w:pPr>
              <w:pStyle w:val="Compact"/>
              <w:jc w:val="left"/>
            </w:pPr>
            <w:r>
              <w:t xml:space="preserve">Model retraining</w:t>
            </w:r>
          </w:p>
        </w:tc>
        <w:tc>
          <w:tcPr/>
          <w:p>
            <w:pPr>
              <w:pStyle w:val="Compact"/>
              <w:jc w:val="left"/>
            </w:pPr>
            <w:r>
              <w:t xml:space="preserve">Monthly</w:t>
            </w:r>
          </w:p>
        </w:tc>
        <w:tc>
          <w:tcPr/>
          <w:p>
            <w:pPr>
              <w:pStyle w:val="Compact"/>
              <w:jc w:val="left"/>
            </w:pPr>
            <w:r>
              <w:t xml:space="preserve">N/A</w:t>
            </w:r>
          </w:p>
        </w:tc>
        <w:tc>
          <w:tcPr/>
          <w:p>
            <w:pPr>
              <w:pStyle w:val="Compact"/>
              <w:jc w:val="left"/>
            </w:pPr>
            <w:r>
              <w:t xml:space="preserve">Automated pipeline</w:t>
            </w:r>
          </w:p>
        </w:tc>
      </w:tr>
      <w:tr>
        <w:tc>
          <w:tcPr/>
          <w:p>
            <w:pPr>
              <w:pStyle w:val="Compact"/>
              <w:jc w:val="left"/>
            </w:pPr>
            <w:r>
              <w:t xml:space="preserve">Bias audit</w:t>
            </w:r>
          </w:p>
        </w:tc>
        <w:tc>
          <w:tcPr/>
          <w:p>
            <w:pPr>
              <w:pStyle w:val="Compact"/>
              <w:jc w:val="left"/>
            </w:pPr>
            <w:r>
              <w:t xml:space="preserve">Monthly</w:t>
            </w:r>
          </w:p>
        </w:tc>
        <w:tc>
          <w:tcPr/>
          <w:p>
            <w:pPr>
              <w:pStyle w:val="Compact"/>
              <w:jc w:val="left"/>
            </w:pPr>
            <w:r>
              <w:t xml:space="preserve">N/A</w:t>
            </w:r>
          </w:p>
        </w:tc>
        <w:tc>
          <w:tcPr/>
          <w:p>
            <w:pPr>
              <w:pStyle w:val="Compact"/>
              <w:jc w:val="left"/>
            </w:pPr>
            <w:r>
              <w:t xml:space="preserve">Automated pipeline</w:t>
            </w:r>
          </w:p>
        </w:tc>
      </w:tr>
    </w:tbl>
    <w:p>
      <w:r>
        <w:pict>
          <v:rect style="width:0;height:1.5pt" o:hralign="center" o:hrstd="t" o:hr="t"/>
        </w:pict>
      </w:r>
    </w:p>
    <w:bookmarkEnd w:id="49"/>
    <w:bookmarkEnd w:id="50"/>
    <w:bookmarkStart w:id="56" w:name="product-pillar-deep-dives"/>
    <w:p>
      <w:pPr>
        <w:pStyle w:val="2"/>
      </w:pPr>
      <w:r>
        <w:t xml:space="preserve">5. PRODUCT PILLAR DEEP DIVES</w:t>
      </w:r>
    </w:p>
    <w:bookmarkStart w:id="51" w:name="chama-digital-rosca-management"/>
    <w:p>
      <w:pPr>
        <w:pStyle w:val="3"/>
      </w:pPr>
      <w:r>
        <w:t xml:space="preserve">5.1 Chama: Digital ROSCA Management</w:t>
      </w:r>
    </w:p>
    <w:p>
      <w:pPr>
        <w:pStyle w:val="FirstParagraph"/>
      </w:pPr>
      <w:r>
        <w:rPr>
          <w:b/>
          <w:bCs/>
        </w:rPr>
        <w:t xml:space="preserve">Product Definition:</w:t>
      </w:r>
      <w:r>
        <w:t xml:space="preserve"> </w:t>
      </w:r>
      <w:r>
        <w:t xml:space="preserve">Chama transforms traditional rotating savings and credit associations (ROSCAs) — the dominant informal savings mechanism in East Africa — into digital, transparent, and scalable financial institutions.</w:t>
      </w:r>
    </w:p>
    <w:p>
      <w:pPr>
        <w:pStyle w:val="a0"/>
      </w:pPr>
      <w:r>
        <w:rPr>
          <w:b/>
          <w:bCs/>
        </w:rPr>
        <w:t xml:space="preserve">The ROSCA Context:</w:t>
      </w:r>
      <w:r>
        <w:t xml:space="preserve"> </w:t>
      </w:r>
      <w:r>
        <w:t xml:space="preserve">An estimated</w:t>
      </w:r>
      <w:r>
        <w:t xml:space="preserve"> </w:t>
      </w:r>
      <w:r>
        <w:rPr>
          <w:b/>
          <w:bCs/>
        </w:rPr>
        <w:t xml:space="preserve">15-20 million people</w:t>
      </w:r>
      <w:r>
        <w:t xml:space="preserve"> </w:t>
      </w:r>
      <w:r>
        <w:t xml:space="preserve">participate in ROSCAs across East Africa. In Tanzania, ROSCAs (known locally as</w:t>
      </w:r>
      <w:r>
        <w:t xml:space="preserve"> </w:t>
      </w:r>
      <w:r>
        <w:rPr>
          <w:i/>
          <w:iCs/>
        </w:rPr>
        <w:t xml:space="preserve">vikoba</w:t>
      </w:r>
      <w:r>
        <w:t xml:space="preserve">,</w:t>
      </w:r>
      <w:r>
        <w:t xml:space="preserve"> </w:t>
      </w:r>
      <w:r>
        <w:rPr>
          <w:i/>
          <w:iCs/>
        </w:rPr>
        <w:t xml:space="preserve">upatu</w:t>
      </w:r>
      <w:r>
        <w:t xml:space="preserve">, or</w:t>
      </w:r>
      <w:r>
        <w:t xml:space="preserve"> </w:t>
      </w:r>
      <w:r>
        <w:rPr>
          <w:i/>
          <w:iCs/>
        </w:rPr>
        <w:t xml:space="preserve">mchezo</w:t>
      </w:r>
      <w:r>
        <w:t xml:space="preserve">) serve as the primary savings vehicle for approximately</w:t>
      </w:r>
      <w:r>
        <w:t xml:space="preserve"> </w:t>
      </w:r>
      <w:r>
        <w:rPr>
          <w:b/>
          <w:bCs/>
        </w:rPr>
        <w:t xml:space="preserve">40% of the adult population</w:t>
      </w:r>
      <w:r>
        <w:t xml:space="preserve">, with particularly high participation among women (70-80% of ROSCA members are female). These groups typically comprise 10-30 members who contribute a fixed amount monthly, with the collective pot rotating to one member each cycle until all members have received their</w:t>
      </w:r>
      <w:r>
        <w:t xml:space="preserve"> </w:t>
      </w:r>
      <w:r>
        <w:t xml:space="preserve">“</w:t>
      </w:r>
      <w:r>
        <w:t xml:space="preserve">turn.</w:t>
      </w:r>
      <w:r>
        <w:t xml:space="preserve">”</w:t>
      </w:r>
    </w:p>
    <w:p>
      <w:pPr>
        <w:pStyle w:val="a0"/>
      </w:pPr>
      <w:r>
        <w:rPr>
          <w:b/>
          <w:bCs/>
        </w:rPr>
        <w:t xml:space="preserve">Core Functionality:</w:t>
      </w:r>
    </w:p>
    <w:tbl>
      <w:tblPr>
        <w:tblStyle w:val="Table"/>
        <w:tblW w:type="pct" w:w="5000"/>
        <w:jc w:val="left"/>
        <w:tblLayout w:type="fixed"/>
        <w:tblLook w:firstRow="1" w:lastRow="0" w:firstColumn="0" w:lastColumn="0" w:noHBand="0" w:noVBand="0" w:val="0020"/>
      </w:tblPr>
      <w:tblGrid>
        <w:gridCol w:w="1549"/>
        <w:gridCol w:w="2238"/>
        <w:gridCol w:w="4132"/>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Credit Signal Generated</w:t>
            </w:r>
          </w:p>
        </w:tc>
      </w:tr>
      <w:tr>
        <w:tc>
          <w:tcPr/>
          <w:p>
            <w:pPr>
              <w:pStyle w:val="Compact"/>
              <w:jc w:val="left"/>
            </w:pPr>
            <w:r>
              <w:rPr>
                <w:b/>
                <w:bCs/>
              </w:rPr>
              <w:t xml:space="preserve">Group Creation</w:t>
            </w:r>
          </w:p>
        </w:tc>
        <w:tc>
          <w:tcPr/>
          <w:p>
            <w:pPr>
              <w:pStyle w:val="Compact"/>
              <w:jc w:val="left"/>
            </w:pPr>
            <w:r>
              <w:t xml:space="preserve">Digital formation with customizable rules (contribution amount, cycle length, rotation order)</w:t>
            </w:r>
          </w:p>
        </w:tc>
        <w:tc>
          <w:tcPr/>
          <w:p>
            <w:pPr>
              <w:pStyle w:val="Compact"/>
              <w:jc w:val="left"/>
            </w:pPr>
            <w:r>
              <w:t xml:space="preserve">Group founding demonstrates leadership</w:t>
            </w:r>
          </w:p>
        </w:tc>
      </w:tr>
      <w:tr>
        <w:tc>
          <w:tcPr/>
          <w:p>
            <w:pPr>
              <w:pStyle w:val="Compact"/>
              <w:jc w:val="left"/>
            </w:pPr>
            <w:r>
              <w:rPr>
                <w:b/>
                <w:bCs/>
              </w:rPr>
              <w:t xml:space="preserve">Contribution Tracking</w:t>
            </w:r>
          </w:p>
        </w:tc>
        <w:tc>
          <w:tcPr/>
          <w:p>
            <w:pPr>
              <w:pStyle w:val="Compact"/>
              <w:jc w:val="left"/>
            </w:pPr>
            <w:r>
              <w:t xml:space="preserve">Automated recording of member contributions with receipt generation</w:t>
            </w:r>
          </w:p>
        </w:tc>
        <w:tc>
          <w:tcPr/>
          <w:p>
            <w:pPr>
              <w:pStyle w:val="Compact"/>
              <w:jc w:val="left"/>
            </w:pPr>
            <w:r>
              <w:t xml:space="preserve">On-time contribution percentage (45% of Chama score)</w:t>
            </w:r>
          </w:p>
        </w:tc>
      </w:tr>
      <w:tr>
        <w:tc>
          <w:tcPr/>
          <w:p>
            <w:pPr>
              <w:pStyle w:val="Compact"/>
              <w:jc w:val="left"/>
            </w:pPr>
            <w:r>
              <w:rPr>
                <w:b/>
                <w:bCs/>
              </w:rPr>
              <w:t xml:space="preserve">Rotation Management</w:t>
            </w:r>
          </w:p>
        </w:tc>
        <w:tc>
          <w:tcPr/>
          <w:p>
            <w:pPr>
              <w:pStyle w:val="Compact"/>
              <w:jc w:val="left"/>
            </w:pPr>
            <w:r>
              <w:t xml:space="preserve">Transparent fund distribution with digital receipts and audit trails</w:t>
            </w:r>
          </w:p>
        </w:tc>
        <w:tc>
          <w:tcPr/>
          <w:p>
            <w:pPr>
              <w:pStyle w:val="Compact"/>
              <w:jc w:val="left"/>
            </w:pPr>
            <w:r>
              <w:t xml:space="preserve">Order of rotation reveals social capital</w:t>
            </w:r>
          </w:p>
        </w:tc>
      </w:tr>
      <w:tr>
        <w:tc>
          <w:tcPr/>
          <w:p>
            <w:pPr>
              <w:pStyle w:val="Compact"/>
              <w:jc w:val="left"/>
            </w:pPr>
            <w:r>
              <w:rPr>
                <w:b/>
                <w:bCs/>
              </w:rPr>
              <w:t xml:space="preserve">Withdrawal Workflows</w:t>
            </w:r>
          </w:p>
        </w:tc>
        <w:tc>
          <w:tcPr/>
          <w:p>
            <w:pPr>
              <w:pStyle w:val="Compact"/>
              <w:jc w:val="left"/>
            </w:pPr>
            <w:r>
              <w:t xml:space="preserve">Structured withdrawal requests with group approval voting</w:t>
            </w:r>
          </w:p>
        </w:tc>
        <w:tc>
          <w:tcPr/>
          <w:p>
            <w:pPr>
              <w:pStyle w:val="Compact"/>
              <w:jc w:val="left"/>
            </w:pPr>
            <w:r>
              <w:t xml:space="preserve">Responsible withdrawal behavior</w:t>
            </w:r>
          </w:p>
        </w:tc>
      </w:tr>
      <w:tr>
        <w:tc>
          <w:tcPr/>
          <w:p>
            <w:pPr>
              <w:pStyle w:val="Compact"/>
              <w:jc w:val="left"/>
            </w:pPr>
            <w:r>
              <w:rPr>
                <w:b/>
                <w:bCs/>
              </w:rPr>
              <w:t xml:space="preserve">Officer Roles</w:t>
            </w:r>
          </w:p>
        </w:tc>
        <w:tc>
          <w:tcPr/>
          <w:p>
            <w:pPr>
              <w:pStyle w:val="Compact"/>
              <w:jc w:val="left"/>
            </w:pPr>
            <w:r>
              <w:t xml:space="preserve">Treasurer, chairperson, secretary with role-based permissions</w:t>
            </w:r>
          </w:p>
        </w:tc>
        <w:tc>
          <w:tcPr/>
          <w:p>
            <w:pPr>
              <w:pStyle w:val="Compact"/>
              <w:jc w:val="left"/>
            </w:pPr>
            <w:r>
              <w:t xml:space="preserve">Leadership role = +15 score points</w:t>
            </w:r>
          </w:p>
        </w:tc>
      </w:tr>
      <w:tr>
        <w:tc>
          <w:tcPr/>
          <w:p>
            <w:pPr>
              <w:pStyle w:val="Compact"/>
              <w:jc w:val="left"/>
            </w:pPr>
            <w:r>
              <w:rPr>
                <w:b/>
                <w:bCs/>
              </w:rPr>
              <w:t xml:space="preserve">Group Analytics</w:t>
            </w:r>
          </w:p>
        </w:tc>
        <w:tc>
          <w:tcPr/>
          <w:p>
            <w:pPr>
              <w:pStyle w:val="Compact"/>
              <w:jc w:val="left"/>
            </w:pPr>
            <w:r>
              <w:t xml:space="preserve">Contribution heatmaps, member participation dashboards, savings projections</w:t>
            </w:r>
          </w:p>
        </w:tc>
        <w:tc>
          <w:tcPr/>
          <w:p>
            <w:pPr>
              <w:pStyle w:val="Compact"/>
              <w:jc w:val="left"/>
            </w:pPr>
            <w:r>
              <w:t xml:space="preserve">Longitudinal savings discipline</w:t>
            </w:r>
          </w:p>
        </w:tc>
      </w:tr>
    </w:tbl>
    <w:p>
      <w:pPr>
        <w:pStyle w:val="a0"/>
      </w:pPr>
      <w:r>
        <w:rPr>
          <w:b/>
          <w:bCs/>
        </w:rPr>
        <w:t xml:space="preserve">Credit Scoring Integration:</w:t>
      </w:r>
      <w:r>
        <w:t xml:space="preserve"> </w:t>
      </w:r>
      <w:r>
        <w:t xml:space="preserve">Chama participation contributes</w:t>
      </w:r>
      <w:r>
        <w:t xml:space="preserve"> </w:t>
      </w:r>
      <w:r>
        <w:rPr>
          <w:b/>
          <w:bCs/>
        </w:rPr>
        <w:t xml:space="preserve">20% of the Trust Score</w:t>
      </w:r>
      <w:r>
        <w:t xml:space="preserve"> </w:t>
      </w:r>
      <w:r>
        <w:t xml:space="preserve">— the second-highest weight after loan repayment. The scoring function evaluates contribution consistency (45% weight within the Chama factor), savings volume relative to group median (30%), group tenure (15%), and leadership role bonus (10%).</w:t>
      </w:r>
    </w:p>
    <w:p>
      <w:pPr>
        <w:pStyle w:val="a0"/>
      </w:pPr>
      <w:r>
        <w:rPr>
          <w:b/>
          <w:bCs/>
        </w:rPr>
        <w:t xml:space="preserve">User Acquisition:</w:t>
      </w:r>
      <w:r>
        <w:t xml:space="preserve"> </w:t>
      </w:r>
      <w:r>
        <w:t xml:space="preserve">Chama serves as TWENDE’s</w:t>
      </w:r>
      <w:r>
        <w:t xml:space="preserve"> </w:t>
      </w:r>
      <w:r>
        <w:rPr>
          <w:b/>
          <w:bCs/>
        </w:rPr>
        <w:t xml:space="preserve">primary acquisition channel</w:t>
      </w:r>
      <w:r>
        <w:t xml:space="preserve">. One chama leader onboarding 15-30 members generates a customer acquisition cost (CAC) of approximately</w:t>
      </w:r>
      <w:r>
        <w:t xml:space="preserve"> </w:t>
      </w:r>
      <w:r>
        <w:rPr>
          <w:b/>
          <w:bCs/>
        </w:rPr>
        <w:t xml:space="preserve">$3-5 per user</w:t>
      </w:r>
      <w:r>
        <w:t xml:space="preserve"> </w:t>
      </w:r>
      <w:r>
        <w:t xml:space="preserve">— among the lowest in African fintech. The viral loop is natural: members invite family and friends to join their chama, who then discover other TWENDE pillars.</w:t>
      </w:r>
    </w:p>
    <w:bookmarkEnd w:id="51"/>
    <w:bookmarkStart w:id="52" w:name="X5abf32a45a1fc5f2ede3175082f7a2ab5d2f1f0"/>
    <w:p>
      <w:pPr>
        <w:pStyle w:val="3"/>
      </w:pPr>
      <w:r>
        <w:t xml:space="preserve">5.2 Biashara: Micro-Credit with Reducing Balance</w:t>
      </w:r>
    </w:p>
    <w:p>
      <w:pPr>
        <w:pStyle w:val="FirstParagraph"/>
      </w:pPr>
      <w:r>
        <w:rPr>
          <w:b/>
          <w:bCs/>
        </w:rPr>
        <w:t xml:space="preserve">Product Definition:</w:t>
      </w:r>
      <w:r>
        <w:t xml:space="preserve"> </w:t>
      </w:r>
      <w:r>
        <w:t xml:space="preserve">Biashara provides working capital and inventory financing to informal traders, market vendors, and small business owners, with loan terms dynamically determined by the borrower’s Trust Score.</w:t>
      </w:r>
    </w:p>
    <w:p>
      <w:pPr>
        <w:pStyle w:val="a0"/>
      </w:pPr>
      <w:r>
        <w:rPr>
          <w:b/>
          <w:bCs/>
        </w:rPr>
        <w:t xml:space="preserve">Loan Product Suite:</w:t>
      </w:r>
    </w:p>
    <w:tbl>
      <w:tblPr>
        <w:tblStyle w:val="Table"/>
        <w:tblW w:type="pct" w:w="5000"/>
        <w:jc w:val="left"/>
        <w:tblLayout w:type="fixed"/>
        <w:tblLook w:firstRow="1" w:lastRow="0" w:firstColumn="0" w:lastColumn="0" w:noHBand="0" w:noVBand="0" w:val="0020"/>
      </w:tblPr>
      <w:tblGrid>
        <w:gridCol w:w="937"/>
        <w:gridCol w:w="1354"/>
        <w:gridCol w:w="1563"/>
        <w:gridCol w:w="833"/>
        <w:gridCol w:w="1563"/>
        <w:gridCol w:w="1667"/>
      </w:tblGrid>
      <w:tr>
        <w:trPr>
          <w:tblHeader w:val="on"/>
        </w:trPr>
        <w:tc>
          <w:tcPr/>
          <w:p>
            <w:pPr>
              <w:pStyle w:val="Compact"/>
              <w:jc w:val="left"/>
            </w:pPr>
            <w:r>
              <w:t xml:space="preserve">Product</w:t>
            </w:r>
          </w:p>
        </w:tc>
        <w:tc>
          <w:tcPr/>
          <w:p>
            <w:pPr>
              <w:pStyle w:val="Compact"/>
              <w:jc w:val="left"/>
            </w:pPr>
            <w:r>
              <w:t xml:space="preserve">Amount Range</w:t>
            </w:r>
          </w:p>
        </w:tc>
        <w:tc>
          <w:tcPr/>
          <w:p>
            <w:pPr>
              <w:pStyle w:val="Compact"/>
              <w:jc w:val="left"/>
            </w:pPr>
            <w:r>
              <w:t xml:space="preserve">Interest Rate</w:t>
            </w:r>
          </w:p>
        </w:tc>
        <w:tc>
          <w:tcPr/>
          <w:p>
            <w:pPr>
              <w:pStyle w:val="Compact"/>
              <w:jc w:val="left"/>
            </w:pPr>
            <w:r>
              <w:t xml:space="preserve">Tenure</w:t>
            </w:r>
          </w:p>
        </w:tc>
        <w:tc>
          <w:tcPr/>
          <w:p>
            <w:pPr>
              <w:pStyle w:val="Compact"/>
              <w:jc w:val="left"/>
            </w:pPr>
            <w:r>
              <w:t xml:space="preserve">Interest Type</w:t>
            </w:r>
          </w:p>
        </w:tc>
        <w:tc>
          <w:tcPr/>
          <w:p>
            <w:pPr>
              <w:pStyle w:val="Compact"/>
              <w:jc w:val="left"/>
            </w:pPr>
            <w:r>
              <w:t xml:space="preserve">Processing Fee</w:t>
            </w:r>
          </w:p>
        </w:tc>
      </w:tr>
      <w:tr>
        <w:tc>
          <w:tcPr/>
          <w:p>
            <w:pPr>
              <w:pStyle w:val="Compact"/>
              <w:jc w:val="left"/>
            </w:pPr>
            <w:r>
              <w:rPr>
                <w:b/>
                <w:bCs/>
              </w:rPr>
              <w:t xml:space="preserve">Working Capital</w:t>
            </w:r>
          </w:p>
        </w:tc>
        <w:tc>
          <w:tcPr/>
          <w:p>
            <w:pPr>
              <w:pStyle w:val="Compact"/>
              <w:jc w:val="left"/>
            </w:pPr>
            <w:r>
              <w:t xml:space="preserve">KES 5,000–500,000</w:t>
            </w:r>
          </w:p>
        </w:tc>
        <w:tc>
          <w:tcPr/>
          <w:p>
            <w:pPr>
              <w:pStyle w:val="Compact"/>
              <w:jc w:val="left"/>
            </w:pPr>
            <w:r>
              <w:t xml:space="preserve">10-24% APR</w:t>
            </w:r>
          </w:p>
        </w:tc>
        <w:tc>
          <w:tcPr/>
          <w:p>
            <w:pPr>
              <w:pStyle w:val="Compact"/>
              <w:jc w:val="left"/>
            </w:pPr>
            <w:r>
              <w:t xml:space="preserve">1-104 weeks</w:t>
            </w:r>
          </w:p>
        </w:tc>
        <w:tc>
          <w:tcPr/>
          <w:p>
            <w:pPr>
              <w:pStyle w:val="Compact"/>
              <w:jc w:val="left"/>
            </w:pPr>
            <w:r>
              <w:t xml:space="preserve">Reducing balance</w:t>
            </w:r>
          </w:p>
        </w:tc>
        <w:tc>
          <w:tcPr/>
          <w:p>
            <w:pPr>
              <w:pStyle w:val="Compact"/>
              <w:jc w:val="left"/>
            </w:pPr>
            <w:r>
              <w:t xml:space="preserve">2.5%</w:t>
            </w:r>
          </w:p>
        </w:tc>
      </w:tr>
      <w:tr>
        <w:tc>
          <w:tcPr/>
          <w:p>
            <w:pPr>
              <w:pStyle w:val="Compact"/>
              <w:jc w:val="left"/>
            </w:pPr>
            <w:r>
              <w:rPr>
                <w:b/>
                <w:bCs/>
              </w:rPr>
              <w:t xml:space="preserve">Inventory Finance</w:t>
            </w:r>
          </w:p>
        </w:tc>
        <w:tc>
          <w:tcPr/>
          <w:p>
            <w:pPr>
              <w:pStyle w:val="Compact"/>
              <w:jc w:val="left"/>
            </w:pPr>
            <w:r>
              <w:t xml:space="preserve">KES 10,000–200,000</w:t>
            </w:r>
          </w:p>
        </w:tc>
        <w:tc>
          <w:tcPr/>
          <w:p>
            <w:pPr>
              <w:pStyle w:val="Compact"/>
              <w:jc w:val="left"/>
            </w:pPr>
            <w:r>
              <w:t xml:space="preserve">14-18% APR</w:t>
            </w:r>
          </w:p>
        </w:tc>
        <w:tc>
          <w:tcPr/>
          <w:p>
            <w:pPr>
              <w:pStyle w:val="Compact"/>
              <w:jc w:val="left"/>
            </w:pPr>
            <w:r>
              <w:t xml:space="preserve">1-12 months</w:t>
            </w:r>
          </w:p>
        </w:tc>
        <w:tc>
          <w:tcPr/>
          <w:p>
            <w:pPr>
              <w:pStyle w:val="Compact"/>
              <w:jc w:val="left"/>
            </w:pPr>
            <w:r>
              <w:t xml:space="preserve">Reducing balance</w:t>
            </w:r>
          </w:p>
        </w:tc>
        <w:tc>
          <w:tcPr/>
          <w:p>
            <w:pPr>
              <w:pStyle w:val="Compact"/>
              <w:jc w:val="left"/>
            </w:pPr>
            <w:r>
              <w:t xml:space="preserve">1.5%</w:t>
            </w:r>
          </w:p>
        </w:tc>
      </w:tr>
      <w:tr>
        <w:tc>
          <w:tcPr/>
          <w:p>
            <w:pPr>
              <w:pStyle w:val="Compact"/>
              <w:jc w:val="left"/>
            </w:pPr>
            <w:r>
              <w:rPr>
                <w:b/>
                <w:bCs/>
              </w:rPr>
              <w:t xml:space="preserve">Emergency Micro</w:t>
            </w:r>
          </w:p>
        </w:tc>
        <w:tc>
          <w:tcPr/>
          <w:p>
            <w:pPr>
              <w:pStyle w:val="Compact"/>
              <w:jc w:val="left"/>
            </w:pPr>
            <w:r>
              <w:t xml:space="preserve">KES 1,000–5,000</w:t>
            </w:r>
          </w:p>
        </w:tc>
        <w:tc>
          <w:tcPr/>
          <w:p>
            <w:pPr>
              <w:pStyle w:val="Compact"/>
              <w:jc w:val="left"/>
            </w:pPr>
            <w:r>
              <w:t xml:space="preserve">24% APR (flat)</w:t>
            </w:r>
          </w:p>
        </w:tc>
        <w:tc>
          <w:tcPr/>
          <w:p>
            <w:pPr>
              <w:pStyle w:val="Compact"/>
              <w:jc w:val="left"/>
            </w:pPr>
            <w:r>
              <w:t xml:space="preserve">1-4 weeks</w:t>
            </w:r>
          </w:p>
        </w:tc>
        <w:tc>
          <w:tcPr/>
          <w:p>
            <w:pPr>
              <w:pStyle w:val="Compact"/>
              <w:jc w:val="left"/>
            </w:pPr>
            <w:r>
              <w:t xml:space="preserve">Flat</w:t>
            </w:r>
          </w:p>
        </w:tc>
        <w:tc>
          <w:tcPr/>
          <w:p>
            <w:pPr>
              <w:pStyle w:val="Compact"/>
              <w:jc w:val="left"/>
            </w:pPr>
            <w:r>
              <w:t xml:space="preserve">5%</w:t>
            </w:r>
          </w:p>
        </w:tc>
      </w:tr>
    </w:tbl>
    <w:p>
      <w:pPr>
        <w:pStyle w:val="a0"/>
      </w:pPr>
      <w:r>
        <w:rPr>
          <w:b/>
          <w:bCs/>
        </w:rPr>
        <w:t xml:space="preserve">Reducing Balance Calculation:</w:t>
      </w:r>
      <w:r>
        <w:t xml:space="preserve"> </w:t>
      </w:r>
      <w:r>
        <w:t xml:space="preserve">The core algorithm computes weekly installments using compound interest on the declining principal balance. For a KES 50,000 loan at 18% APR over 12 weeks:</w:t>
      </w:r>
    </w:p>
    <w:p>
      <w:pPr>
        <w:pStyle w:val="a0"/>
      </w:pPr>
      <m:oMathPara>
        <m:oMathParaPr>
          <m:jc m:val="center"/>
        </m:oMathParaPr>
        <m:oMath>
          <m:r>
            <m:rPr>
              <m:nor/>
              <m:sty m:val="p"/>
            </m:rPr>
            <m:t>Weekly Rate</m:t>
          </m:r>
          <m:r>
            <m:rPr>
              <m:sty m:val="p"/>
            </m:rPr>
            <m:t>=</m:t>
          </m:r>
          <m:f>
            <m:fPr>
              <m:type m:val="bar"/>
            </m:fPr>
            <m:num>
              <m:r>
                <m:t>0.18</m:t>
              </m:r>
            </m:num>
            <m:den>
              <m:r>
                <m:t>52</m:t>
              </m:r>
            </m:den>
          </m:f>
          <m:r>
            <m:rPr>
              <m:sty m:val="p"/>
            </m:rPr>
            <m:t>=</m:t>
          </m:r>
          <m:r>
            <m:t>0.00346</m:t>
          </m:r>
        </m:oMath>
      </m:oMathPara>
    </w:p>
    <w:p>
      <w:pPr>
        <w:pStyle w:val="FirstParagraph"/>
      </w:pPr>
      <m:oMathPara>
        <m:oMathParaPr>
          <m:jc m:val="center"/>
        </m:oMathParaPr>
        <m:oMath>
          <m:r>
            <m:rPr>
              <m:nor/>
              <m:sty m:val="p"/>
            </m:rPr>
            <m:t>Installment</m:t>
          </m:r>
          <m:r>
            <m:rPr>
              <m:sty m:val="p"/>
            </m:rPr>
            <m:t>=</m:t>
          </m:r>
          <m:f>
            <m:fPr>
              <m:type m:val="bar"/>
            </m:fPr>
            <m:num>
              <m:r>
                <m:t>50</m:t>
              </m:r>
              <m:r>
                <m:rPr>
                  <m:sty m:val="p"/>
                </m:rPr>
                <m:t>,</m:t>
              </m:r>
              <m:r>
                <m:t>000</m:t>
              </m:r>
              <m:r>
                <m:rPr>
                  <m:sty m:val="p"/>
                </m:rPr>
                <m:t>×</m:t>
              </m:r>
              <m:r>
                <m:t>0.00346</m:t>
              </m:r>
            </m:num>
            <m:den>
              <m:r>
                <m:t>1</m:t>
              </m:r>
              <m:r>
                <m:rPr>
                  <m:sty m:val="p"/>
                </m:rPr>
                <m:t>−</m:t>
              </m:r>
              <m:sSup>
                <m:e>
                  <m:d>
                    <m:dPr>
                      <m:begChr m:val="("/>
                      <m:endChr m:val=")"/>
                      <m:sepChr m:val=""/>
                      <m:grow/>
                    </m:dPr>
                    <m:e>
                      <m:r>
                        <m:t>1</m:t>
                      </m:r>
                      <m:r>
                        <m:rPr>
                          <m:sty m:val="p"/>
                        </m:rPr>
                        <m:t>+</m:t>
                      </m:r>
                      <m:r>
                        <m:t>0.00346</m:t>
                      </m:r>
                    </m:e>
                  </m:d>
                </m:e>
                <m:sup>
                  <m:r>
                    <m:rPr>
                      <m:sty m:val="p"/>
                    </m:rPr>
                    <m:t>−</m:t>
                  </m:r>
                  <m:r>
                    <m:t>12</m:t>
                  </m:r>
                </m:sup>
              </m:sSup>
            </m:den>
          </m:f>
          <m:r>
            <m:rPr>
              <m:sty m:val="p"/>
            </m:rPr>
            <m:t>=</m:t>
          </m:r>
          <m:r>
            <m:rPr>
              <m:nor/>
              <m:sty m:val="p"/>
            </m:rPr>
            <m:t>KES 4,231.12</m:t>
          </m:r>
        </m:oMath>
      </m:oMathPara>
    </w:p>
    <w:p>
      <w:pPr>
        <w:pStyle w:val="FirstParagraph"/>
      </w:pPr>
      <w:r>
        <w:t xml:space="preserve">Total interest paid:</w:t>
      </w:r>
      <w:r>
        <w:t xml:space="preserve"> </w:t>
      </w:r>
      <w:r>
        <w:rPr>
          <w:b/>
          <w:bCs/>
        </w:rPr>
        <w:t xml:space="preserve">KES 5,173.44</w:t>
      </w:r>
      <w:r>
        <w:t xml:space="preserve"> </w:t>
      </w:r>
      <w:r>
        <w:t xml:space="preserve">(10.3% of principal) — compared to KES 9,000 (18% flat) under a flat-rate scheme. The reducing balance method is</w:t>
      </w:r>
      <w:r>
        <w:t xml:space="preserve"> </w:t>
      </w:r>
      <w:r>
        <w:rPr>
          <w:b/>
          <w:bCs/>
        </w:rPr>
        <w:t xml:space="preserve">regulatorily required</w:t>
      </w:r>
      <w:r>
        <w:t xml:space="preserve"> </w:t>
      </w:r>
      <w:r>
        <w:t xml:space="preserve">under CBK guidelines and provides substantial savings to borrowers.</w:t>
      </w:r>
    </w:p>
    <w:p>
      <w:pPr>
        <w:pStyle w:val="a0"/>
      </w:pPr>
      <w:r>
        <w:rPr>
          <w:b/>
          <w:bCs/>
        </w:rPr>
        <w:t xml:space="preserve">Trust Score Integration:</w:t>
      </w:r>
      <w:r>
        <w:t xml:space="preserve"> </w:t>
      </w:r>
      <w:r>
        <w:t xml:space="preserve">Loan eligibility is pre-computed based on Trust Score tier: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Max Loan</w:t>
            </w:r>
          </w:p>
        </w:tc>
        <w:tc>
          <w:tcPr/>
          <w:p>
            <w:pPr>
              <w:pStyle w:val="Compact"/>
              <w:jc w:val="left"/>
            </w:pPr>
            <w:r>
              <w:t xml:space="preserve">Interest Rate</w:t>
            </w:r>
          </w:p>
        </w:tc>
        <w:tc>
          <w:tcPr/>
          <w:p>
            <w:pPr>
              <w:pStyle w:val="Compact"/>
              <w:jc w:val="left"/>
            </w:pPr>
            <w:r>
              <w:t xml:space="preserve">Key Unlock</w:t>
            </w:r>
          </w:p>
        </w:tc>
      </w:tr>
      <w:tr>
        <w:tc>
          <w:tcPr/>
          <w:p>
            <w:pPr>
              <w:pStyle w:val="Compact"/>
              <w:jc w:val="left"/>
            </w:pPr>
            <w:r>
              <w:t xml:space="preserve">Tier 1 (300-499)</w:t>
            </w:r>
          </w:p>
        </w:tc>
        <w:tc>
          <w:tcPr/>
          <w:p>
            <w:pPr>
              <w:pStyle w:val="Compact"/>
              <w:jc w:val="left"/>
            </w:pPr>
            <w:r>
              <w:t xml:space="preserve">KES 5,000</w:t>
            </w:r>
          </w:p>
        </w:tc>
        <w:tc>
          <w:tcPr/>
          <w:p>
            <w:pPr>
              <w:pStyle w:val="Compact"/>
              <w:jc w:val="left"/>
            </w:pPr>
            <w:r>
              <w:t xml:space="preserve">24%</w:t>
            </w:r>
          </w:p>
        </w:tc>
        <w:tc>
          <w:tcPr/>
          <w:p>
            <w:pPr>
              <w:pStyle w:val="Compact"/>
              <w:jc w:val="left"/>
            </w:pPr>
            <w:r>
              <w:t xml:space="preserve">Emergency micro-loans only</w:t>
            </w:r>
          </w:p>
        </w:tc>
      </w:tr>
      <w:tr>
        <w:tc>
          <w:tcPr/>
          <w:p>
            <w:pPr>
              <w:pStyle w:val="Compact"/>
              <w:jc w:val="left"/>
            </w:pPr>
            <w:r>
              <w:t xml:space="preserve">Tier 2 (500-649)</w:t>
            </w:r>
          </w:p>
        </w:tc>
        <w:tc>
          <w:tcPr/>
          <w:p>
            <w:pPr>
              <w:pStyle w:val="Compact"/>
              <w:jc w:val="left"/>
            </w:pPr>
            <w:r>
              <w:t xml:space="preserve">KES 50,000</w:t>
            </w:r>
          </w:p>
        </w:tc>
        <w:tc>
          <w:tcPr/>
          <w:p>
            <w:pPr>
              <w:pStyle w:val="Compact"/>
              <w:jc w:val="left"/>
            </w:pPr>
            <w:r>
              <w:t xml:space="preserve">18%</w:t>
            </w:r>
          </w:p>
        </w:tc>
        <w:tc>
          <w:tcPr/>
          <w:p>
            <w:pPr>
              <w:pStyle w:val="Compact"/>
              <w:jc w:val="left"/>
            </w:pPr>
            <w:r>
              <w:t xml:space="preserve">Standard working capital</w:t>
            </w:r>
          </w:p>
        </w:tc>
      </w:tr>
      <w:tr>
        <w:tc>
          <w:tcPr/>
          <w:p>
            <w:pPr>
              <w:pStyle w:val="Compact"/>
              <w:jc w:val="left"/>
            </w:pPr>
            <w:r>
              <w:t xml:space="preserve">Tier 3 (650-749)</w:t>
            </w:r>
          </w:p>
        </w:tc>
        <w:tc>
          <w:tcPr/>
          <w:p>
            <w:pPr>
              <w:pStyle w:val="Compact"/>
              <w:jc w:val="left"/>
            </w:pPr>
            <w:r>
              <w:t xml:space="preserve">KES 200,000</w:t>
            </w:r>
          </w:p>
        </w:tc>
        <w:tc>
          <w:tcPr/>
          <w:p>
            <w:pPr>
              <w:pStyle w:val="Compact"/>
              <w:jc w:val="left"/>
            </w:pPr>
            <w:r>
              <w:t xml:space="preserve">14%</w:t>
            </w:r>
          </w:p>
        </w:tc>
        <w:tc>
          <w:tcPr/>
          <w:p>
            <w:pPr>
              <w:pStyle w:val="Compact"/>
              <w:jc w:val="left"/>
            </w:pPr>
            <w:r>
              <w:t xml:space="preserve">Premium rates, overdraft</w:t>
            </w:r>
          </w:p>
        </w:tc>
      </w:tr>
      <w:tr>
        <w:tc>
          <w:tcPr/>
          <w:p>
            <w:pPr>
              <w:pStyle w:val="Compact"/>
              <w:jc w:val="left"/>
            </w:pPr>
            <w:r>
              <w:t xml:space="preserve">Tier 4 (750-850)</w:t>
            </w:r>
          </w:p>
        </w:tc>
        <w:tc>
          <w:tcPr/>
          <w:p>
            <w:pPr>
              <w:pStyle w:val="Compact"/>
              <w:jc w:val="left"/>
            </w:pPr>
            <w:r>
              <w:t xml:space="preserve">KES 500,000</w:t>
            </w:r>
          </w:p>
        </w:tc>
        <w:tc>
          <w:tcPr/>
          <w:p>
            <w:pPr>
              <w:pStyle w:val="Compact"/>
              <w:jc w:val="left"/>
            </w:pPr>
            <w:r>
              <w:t xml:space="preserve">10%</w:t>
            </w:r>
          </w:p>
        </w:tc>
        <w:tc>
          <w:tcPr/>
          <w:p>
            <w:pPr>
              <w:pStyle w:val="Compact"/>
              <w:jc w:val="left"/>
            </w:pPr>
            <w:r>
              <w:t xml:space="preserve">Best rates, business loans</w:t>
            </w:r>
          </w:p>
        </w:tc>
      </w:tr>
    </w:tbl>
    <w:p>
      <w:pPr>
        <w:pStyle w:val="a0"/>
      </w:pPr>
      <w:r>
        <w:rPr>
          <w:b/>
          <w:bCs/>
        </w:rPr>
        <w:t xml:space="preserve">Business Dashboard:</w:t>
      </w:r>
      <w:r>
        <w:t xml:space="preserve"> </w:t>
      </w:r>
      <w:r>
        <w:t xml:space="preserve">Biashara includes a comprehensive business health dashboard displaying revenue trends (Recharts line charts), expense tracking, profit margin calculations, cash flow projections, and business health scores — providing merchants with the analytical tools previously available only to formal businesses with accounting departments.</w:t>
      </w:r>
    </w:p>
    <w:bookmarkEnd w:id="52"/>
    <w:bookmarkStart w:id="53" w:name="kazi-gig-work-marketplace"/>
    <w:p>
      <w:pPr>
        <w:pStyle w:val="3"/>
      </w:pPr>
      <w:r>
        <w:t xml:space="preserve">5.3 Kazi: Gig Work Marketplace</w:t>
      </w:r>
    </w:p>
    <w:p>
      <w:pPr>
        <w:pStyle w:val="FirstParagraph"/>
      </w:pPr>
      <w:r>
        <w:rPr>
          <w:b/>
          <w:bCs/>
        </w:rPr>
        <w:t xml:space="preserve">Product Definition:</w:t>
      </w:r>
      <w:r>
        <w:t xml:space="preserve"> </w:t>
      </w:r>
      <w:r>
        <w:t xml:space="preserve">Kazi connects skilled informal workers (plumbers, electricians, cleaners, drivers, artisans) with employers seeking short-term labor, while generating income-verification data for the Trust Engine.</w:t>
      </w:r>
    </w:p>
    <w:p>
      <w:pPr>
        <w:pStyle w:val="a0"/>
      </w:pPr>
      <w:r>
        <w:rPr>
          <w:b/>
          <w:bCs/>
        </w:rPr>
        <w:t xml:space="preserve">Matching Algorithm:</w:t>
      </w:r>
      <w:r>
        <w:t xml:space="preserve"> </w:t>
      </w:r>
      <w:r>
        <w:t xml:space="preserve">The gig matching system employs a weighted composite score considering skill match (40%), geographic proximity (25%), availability alignment (20%), and worker rating (15%). This algorithm ensures that workers receive gig recommendations matched to their skills and location, while employers find qualified candidates efficiently.</w:t>
      </w:r>
    </w:p>
    <w:p>
      <w:pPr>
        <w:pStyle w:val="a0"/>
      </w:pPr>
      <w:r>
        <w:rPr>
          <w:b/>
          <w:bCs/>
        </w:rPr>
        <w:t xml:space="preserve">Instant Payment:</w:t>
      </w:r>
      <w:r>
        <w:t xml:space="preserve"> </w:t>
      </w:r>
      <w:r>
        <w:t xml:space="preserve">Upon gig completion confirmation (or auto-confirmation after 24 hours), payment is processed via M-Pesa B2C within 5 minutes. The platform fee of 5% is deducted before disbursement, with automatic accident insurance premium deduction for high-risk gig categories (construction, transportation).</w:t>
      </w:r>
    </w:p>
    <w:p>
      <w:pPr>
        <w:pStyle w:val="a0"/>
      </w:pPr>
      <w:r>
        <w:rPr>
          <w:b/>
          <w:bCs/>
        </w:rPr>
        <w:t xml:space="preserve">Credit Scoring Integration:</w:t>
      </w:r>
      <w:r>
        <w:t xml:space="preserve"> </w:t>
      </w:r>
      <w:r>
        <w:t xml:space="preserve">Gig work contributes</w:t>
      </w:r>
      <w:r>
        <w:t xml:space="preserve"> </w:t>
      </w:r>
      <w:r>
        <w:rPr>
          <w:b/>
          <w:bCs/>
        </w:rPr>
        <w:t xml:space="preserve">10% of the Trust Score</w:t>
      </w:r>
      <w:r>
        <w:t xml:space="preserve">, evaluating completion rate (40% weight within the factor), employer ratings (25%), income stability (20%), and skill diversity (15%). Workers who complete gigs consistently, receive high employer ratings, and demonstrate income stability build stronger credit profiles than those with erratic gig participation.</w:t>
      </w:r>
    </w:p>
    <w:bookmarkEnd w:id="53"/>
    <w:bookmarkStart w:id="54" w:name="X37204943c3e5f56dfa898bea7ab399759ff40ab"/>
    <w:p>
      <w:pPr>
        <w:pStyle w:val="3"/>
      </w:pPr>
      <w:r>
        <w:t xml:space="preserve">5.4 Linda: Micro-Insurance with AI Risk Assessment</w:t>
      </w:r>
    </w:p>
    <w:p>
      <w:pPr>
        <w:pStyle w:val="FirstParagraph"/>
      </w:pPr>
      <w:r>
        <w:rPr>
          <w:b/>
          <w:bCs/>
        </w:rPr>
        <w:t xml:space="preserve">Product Definition:</w:t>
      </w:r>
      <w:r>
        <w:t xml:space="preserve"> </w:t>
      </w:r>
      <w:r>
        <w:t xml:space="preserve">Linda provides affordable micro-insurance products (health, accident, crop, livestock, business interruption) with premiums starting at KES 20/week, underwritten through an AI-powered risk assessment system.</w:t>
      </w:r>
    </w:p>
    <w:p>
      <w:pPr>
        <w:pStyle w:val="a0"/>
      </w:pPr>
      <w:r>
        <w:rPr>
          <w:b/>
          <w:bCs/>
        </w:rPr>
        <w:t xml:space="preserve">Insurance Product Portfolio:</w:t>
      </w:r>
    </w:p>
    <w:tbl>
      <w:tblPr>
        <w:tblStyle w:val="Table"/>
        <w:tblW w:type="pct" w:w="5000"/>
        <w:jc w:val="left"/>
        <w:tblLayout w:type="fixed"/>
        <w:tblLook w:firstRow="1" w:lastRow="0" w:firstColumn="0" w:lastColumn="0" w:noHBand="0" w:noVBand="0" w:val="0020"/>
      </w:tblPr>
      <w:tblGrid>
        <w:gridCol w:w="1320"/>
        <w:gridCol w:w="1320"/>
        <w:gridCol w:w="1466"/>
        <w:gridCol w:w="1320"/>
        <w:gridCol w:w="2493"/>
      </w:tblGrid>
      <w:tr>
        <w:trPr>
          <w:tblHeader w:val="on"/>
        </w:trPr>
        <w:tc>
          <w:tcPr/>
          <w:p>
            <w:pPr>
              <w:pStyle w:val="Compact"/>
              <w:jc w:val="left"/>
            </w:pPr>
            <w:r>
              <w:t xml:space="preserve">Product</w:t>
            </w:r>
          </w:p>
        </w:tc>
        <w:tc>
          <w:tcPr/>
          <w:p>
            <w:pPr>
              <w:pStyle w:val="Compact"/>
              <w:jc w:val="left"/>
            </w:pPr>
            <w:r>
              <w:t xml:space="preserve">Premium</w:t>
            </w:r>
          </w:p>
        </w:tc>
        <w:tc>
          <w:tcPr/>
          <w:p>
            <w:pPr>
              <w:pStyle w:val="Compact"/>
              <w:jc w:val="left"/>
            </w:pPr>
            <w:r>
              <w:t xml:space="preserve">Coverage</w:t>
            </w:r>
          </w:p>
        </w:tc>
        <w:tc>
          <w:tcPr/>
          <w:p>
            <w:pPr>
              <w:pStyle w:val="Compact"/>
              <w:jc w:val="left"/>
            </w:pPr>
            <w:r>
              <w:t xml:space="preserve">Trigger</w:t>
            </w:r>
          </w:p>
        </w:tc>
        <w:tc>
          <w:tcPr/>
          <w:p>
            <w:pPr>
              <w:pStyle w:val="Compact"/>
              <w:jc w:val="left"/>
            </w:pPr>
            <w:r>
              <w:t xml:space="preserve">Auto-Enrollment</w:t>
            </w:r>
          </w:p>
        </w:tc>
      </w:tr>
      <w:tr>
        <w:tc>
          <w:tcPr/>
          <w:p>
            <w:pPr>
              <w:pStyle w:val="Compact"/>
              <w:jc w:val="left"/>
            </w:pPr>
            <w:r>
              <w:rPr>
                <w:b/>
                <w:bCs/>
              </w:rPr>
              <w:t xml:space="preserve">Personal Accident</w:t>
            </w:r>
          </w:p>
        </w:tc>
        <w:tc>
          <w:tcPr/>
          <w:p>
            <w:pPr>
              <w:pStyle w:val="Compact"/>
              <w:jc w:val="left"/>
            </w:pPr>
            <w:r>
              <w:t xml:space="preserve">KES 30-100/gig</w:t>
            </w:r>
          </w:p>
        </w:tc>
        <w:tc>
          <w:tcPr/>
          <w:p>
            <w:pPr>
              <w:pStyle w:val="Compact"/>
              <w:jc w:val="left"/>
            </w:pPr>
            <w:r>
              <w:t xml:space="preserve">KES 50K medical, KES 200K death</w:t>
            </w:r>
          </w:p>
        </w:tc>
        <w:tc>
          <w:tcPr/>
          <w:p>
            <w:pPr>
              <w:pStyle w:val="Compact"/>
              <w:jc w:val="left"/>
            </w:pPr>
            <w:r>
              <w:t xml:space="preserve">Kazi gig booking</w:t>
            </w:r>
          </w:p>
        </w:tc>
        <w:tc>
          <w:tcPr/>
          <w:p>
            <w:pPr>
              <w:pStyle w:val="Compact"/>
              <w:jc w:val="left"/>
            </w:pPr>
            <w:r>
              <w:t xml:space="preserve">Yes (high-risk gigs)</w:t>
            </w:r>
          </w:p>
        </w:tc>
      </w:tr>
      <w:tr>
        <w:tc>
          <w:tcPr/>
          <w:p>
            <w:pPr>
              <w:pStyle w:val="Compact"/>
              <w:jc w:val="left"/>
            </w:pPr>
            <w:r>
              <w:rPr>
                <w:b/>
                <w:bCs/>
              </w:rPr>
              <w:t xml:space="preserve">Health Micro</w:t>
            </w:r>
          </w:p>
        </w:tc>
        <w:tc>
          <w:tcPr/>
          <w:p>
            <w:pPr>
              <w:pStyle w:val="Compact"/>
              <w:jc w:val="left"/>
            </w:pPr>
            <w:r>
              <w:t xml:space="preserve">KES 50/week</w:t>
            </w:r>
          </w:p>
        </w:tc>
        <w:tc>
          <w:tcPr/>
          <w:p>
            <w:pPr>
              <w:pStyle w:val="Compact"/>
              <w:jc w:val="left"/>
            </w:pPr>
            <w:r>
              <w:t xml:space="preserve">KES 50K inpatient, KES 10K outpatient</w:t>
            </w:r>
          </w:p>
        </w:tc>
        <w:tc>
          <w:tcPr/>
          <w:p>
            <w:pPr>
              <w:pStyle w:val="Compact"/>
              <w:jc w:val="left"/>
            </w:pPr>
            <w:r>
              <w:t xml:space="preserve">Manual purchase</w:t>
            </w:r>
          </w:p>
        </w:tc>
        <w:tc>
          <w:tcPr/>
          <w:p>
            <w:pPr>
              <w:pStyle w:val="Compact"/>
              <w:jc w:val="left"/>
            </w:pPr>
            <w:r>
              <w:t xml:space="preserve">No</w:t>
            </w:r>
          </w:p>
        </w:tc>
      </w:tr>
      <w:tr>
        <w:tc>
          <w:tcPr/>
          <w:p>
            <w:pPr>
              <w:pStyle w:val="Compact"/>
              <w:jc w:val="left"/>
            </w:pPr>
            <w:r>
              <w:rPr>
                <w:b/>
                <w:bCs/>
              </w:rPr>
              <w:t xml:space="preserve">Crop Weather Index</w:t>
            </w:r>
          </w:p>
        </w:tc>
        <w:tc>
          <w:tcPr/>
          <w:p>
            <w:pPr>
              <w:pStyle w:val="Compact"/>
              <w:jc w:val="left"/>
            </w:pPr>
            <w:r>
              <w:t xml:space="preserve">KES 100/acre/season</w:t>
            </w:r>
          </w:p>
        </w:tc>
        <w:tc>
          <w:tcPr/>
          <w:p>
            <w:pPr>
              <w:pStyle w:val="Compact"/>
              <w:jc w:val="left"/>
            </w:pPr>
            <w:r>
              <w:t xml:space="preserve">KES 30K drought/flood</w:t>
            </w:r>
          </w:p>
        </w:tc>
        <w:tc>
          <w:tcPr/>
          <w:p>
            <w:pPr>
              <w:pStyle w:val="Compact"/>
              <w:jc w:val="left"/>
            </w:pPr>
            <w:r>
              <w:t xml:space="preserve">Weather data</w:t>
            </w:r>
          </w:p>
        </w:tc>
        <w:tc>
          <w:tcPr/>
          <w:p>
            <w:pPr>
              <w:pStyle w:val="Compact"/>
              <w:jc w:val="left"/>
            </w:pPr>
            <w:r>
              <w:t xml:space="preserve">No</w:t>
            </w:r>
          </w:p>
        </w:tc>
      </w:tr>
      <w:tr>
        <w:tc>
          <w:tcPr/>
          <w:p>
            <w:pPr>
              <w:pStyle w:val="Compact"/>
              <w:jc w:val="left"/>
            </w:pPr>
            <w:r>
              <w:rPr>
                <w:b/>
                <w:bCs/>
              </w:rPr>
              <w:t xml:space="preserve">Livestock</w:t>
            </w:r>
          </w:p>
        </w:tc>
        <w:tc>
          <w:tcPr/>
          <w:p>
            <w:pPr>
              <w:pStyle w:val="Compact"/>
              <w:jc w:val="left"/>
            </w:pPr>
            <w:r>
              <w:t xml:space="preserve">KES 75/animal/month</w:t>
            </w:r>
          </w:p>
        </w:tc>
        <w:tc>
          <w:tcPr/>
          <w:p>
            <w:pPr>
              <w:pStyle w:val="Compact"/>
              <w:jc w:val="left"/>
            </w:pPr>
            <w:r>
              <w:t xml:space="preserve">KES 25K death, KES 20K theft</w:t>
            </w:r>
          </w:p>
        </w:tc>
        <w:tc>
          <w:tcPr/>
          <w:p>
            <w:pPr>
              <w:pStyle w:val="Compact"/>
              <w:jc w:val="left"/>
            </w:pPr>
            <w:r>
              <w:t xml:space="preserve">Veterinary report</w:t>
            </w:r>
          </w:p>
        </w:tc>
        <w:tc>
          <w:tcPr/>
          <w:p>
            <w:pPr>
              <w:pStyle w:val="Compact"/>
              <w:jc w:val="left"/>
            </w:pPr>
            <w:r>
              <w:t xml:space="preserve">No</w:t>
            </w:r>
          </w:p>
        </w:tc>
      </w:tr>
      <w:tr>
        <w:tc>
          <w:tcPr/>
          <w:p>
            <w:pPr>
              <w:pStyle w:val="Compact"/>
              <w:jc w:val="left"/>
            </w:pPr>
            <w:r>
              <w:rPr>
                <w:b/>
                <w:bCs/>
              </w:rPr>
              <w:t xml:space="preserve">Business Interruption</w:t>
            </w:r>
          </w:p>
        </w:tc>
        <w:tc>
          <w:tcPr/>
          <w:p>
            <w:pPr>
              <w:pStyle w:val="Compact"/>
              <w:jc w:val="left"/>
            </w:pPr>
            <w:r>
              <w:t xml:space="preserve">KES 100/week</w:t>
            </w:r>
          </w:p>
        </w:tc>
        <w:tc>
          <w:tcPr/>
          <w:p>
            <w:pPr>
              <w:pStyle w:val="Compact"/>
              <w:jc w:val="left"/>
            </w:pPr>
            <w:r>
              <w:t xml:space="preserve">KES 100K fire, KES 50K theft</w:t>
            </w:r>
          </w:p>
        </w:tc>
        <w:tc>
          <w:tcPr/>
          <w:p>
            <w:pPr>
              <w:pStyle w:val="Compact"/>
              <w:jc w:val="left"/>
            </w:pPr>
            <w:r>
              <w:t xml:space="preserve">Incident report</w:t>
            </w:r>
          </w:p>
        </w:tc>
        <w:tc>
          <w:tcPr/>
          <w:p>
            <w:pPr>
              <w:pStyle w:val="Compact"/>
              <w:jc w:val="left"/>
            </w:pPr>
            <w:r>
              <w:t xml:space="preserve">No</w:t>
            </w:r>
          </w:p>
        </w:tc>
      </w:tr>
    </w:tbl>
    <w:p>
      <w:pPr>
        <w:pStyle w:val="a0"/>
      </w:pPr>
      <w:r>
        <w:rPr>
          <w:b/>
          <w:bCs/>
        </w:rPr>
        <w:t xml:space="preserve">AI Risk Assessment:</w:t>
      </w:r>
      <w:r>
        <w:t xml:space="preserve"> </w:t>
      </w:r>
      <w:r>
        <w:t xml:space="preserve">The underwriting engine uses an XGBoost risk classifier trained on Trust Score components, demographic data, and product-specific risk factors to generate personalized premiums. Low-risk users (Trust Score &gt;700) receive instant approval without medical examination; high-risk users may require additional verification or face higher premiums.</w:t>
      </w:r>
    </w:p>
    <w:p>
      <w:pPr>
        <w:pStyle w:val="a0"/>
      </w:pPr>
      <w:r>
        <w:rPr>
          <w:b/>
          <w:bCs/>
        </w:rPr>
        <w:t xml:space="preserve">Credit Scoring Integration:</w:t>
      </w:r>
      <w:r>
        <w:t xml:space="preserve"> </w:t>
      </w:r>
      <w:r>
        <w:t xml:space="preserve">Insurance premium payment consistency contributes</w:t>
      </w:r>
      <w:r>
        <w:t xml:space="preserve"> </w:t>
      </w:r>
      <w:r>
        <w:rPr>
          <w:b/>
          <w:bCs/>
        </w:rPr>
        <w:t xml:space="preserve">5% of the Trust Score</w:t>
      </w:r>
      <w:r>
        <w:t xml:space="preserve">, with a no-claim bonus (10% premium reduction after 12 claim-free months) that incentivizes risk-averse behavior.</w:t>
      </w:r>
    </w:p>
    <w:bookmarkEnd w:id="54"/>
    <w:bookmarkStart w:id="55" w:name="soko-social-commerce-marketplace"/>
    <w:p>
      <w:pPr>
        <w:pStyle w:val="3"/>
      </w:pPr>
      <w:r>
        <w:t xml:space="preserve">5.5 Soko: Social Commerce Marketplace</w:t>
      </w:r>
    </w:p>
    <w:p>
      <w:pPr>
        <w:pStyle w:val="FirstParagraph"/>
      </w:pPr>
      <w:r>
        <w:rPr>
          <w:b/>
          <w:bCs/>
        </w:rPr>
        <w:t xml:space="preserve">Product Definition:</w:t>
      </w:r>
      <w:r>
        <w:t xml:space="preserve"> </w:t>
      </w:r>
      <w:r>
        <w:t xml:space="preserve">Soko is a social commerce marketplace enabling informal vendors and small businesses to create branded digital storefronts, list products, process orders, and sell through both the TWENDE app and WhatsApp — with all sales data feeding the Trust Engine.</w:t>
      </w:r>
    </w:p>
    <w:p>
      <w:pPr>
        <w:pStyle w:val="a0"/>
      </w:pPr>
      <w:r>
        <w:rPr>
          <w:b/>
          <w:bCs/>
        </w:rPr>
        <w:t xml:space="preserve">Vendor Storefront Features: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Trust Signal</w:t>
            </w:r>
          </w:p>
        </w:tc>
      </w:tr>
      <w:tr>
        <w:tc>
          <w:tcPr/>
          <w:p>
            <w:pPr>
              <w:pStyle w:val="Compact"/>
              <w:jc w:val="left"/>
            </w:pPr>
            <w:r>
              <w:rPr>
                <w:b/>
                <w:bCs/>
              </w:rPr>
              <w:t xml:space="preserve">Branded Storefront</w:t>
            </w:r>
          </w:p>
        </w:tc>
        <w:tc>
          <w:tcPr/>
          <w:p>
            <w:pPr>
              <w:pStyle w:val="Compact"/>
              <w:jc w:val="left"/>
            </w:pPr>
            <w:r>
              <w:t xml:space="preserve">Custom URL (twende.app/s/[store-name]), logo, banner, theme selection</w:t>
            </w:r>
          </w:p>
        </w:tc>
        <w:tc>
          <w:tcPr/>
          <w:p>
            <w:pPr>
              <w:pStyle w:val="Compact"/>
              <w:jc w:val="left"/>
            </w:pPr>
            <w:r>
              <w:t xml:space="preserve">Store professionalism</w:t>
            </w:r>
          </w:p>
        </w:tc>
      </w:tr>
      <w:tr>
        <w:tc>
          <w:tcPr/>
          <w:p>
            <w:pPr>
              <w:pStyle w:val="Compact"/>
              <w:jc w:val="left"/>
            </w:pPr>
            <w:r>
              <w:rPr>
                <w:b/>
                <w:bCs/>
              </w:rPr>
              <w:t xml:space="preserve">Product Catalog</w:t>
            </w:r>
          </w:p>
        </w:tc>
        <w:tc>
          <w:tcPr/>
          <w:p>
            <w:pPr>
              <w:pStyle w:val="Compact"/>
              <w:jc w:val="left"/>
            </w:pPr>
            <w:r>
              <w:t xml:space="preserve">Up to 5 images per product, variants (size/color), inventory tracking</w:t>
            </w:r>
          </w:p>
        </w:tc>
        <w:tc>
          <w:tcPr/>
          <w:p>
            <w:pPr>
              <w:pStyle w:val="Compact"/>
              <w:jc w:val="left"/>
            </w:pPr>
            <w:r>
              <w:t xml:space="preserve">Catalog completeness</w:t>
            </w:r>
          </w:p>
        </w:tc>
      </w:tr>
      <w:tr>
        <w:tc>
          <w:tcPr/>
          <w:p>
            <w:pPr>
              <w:pStyle w:val="Compact"/>
              <w:jc w:val="left"/>
            </w:pPr>
            <w:r>
              <w:rPr>
                <w:b/>
                <w:bCs/>
              </w:rPr>
              <w:t xml:space="preserve">WhatsApp Selling</w:t>
            </w:r>
          </w:p>
        </w:tc>
        <w:tc>
          <w:tcPr/>
          <w:p>
            <w:pPr>
              <w:pStyle w:val="Compact"/>
              <w:jc w:val="left"/>
            </w:pPr>
            <w:r>
              <w:t xml:space="preserve">Auto-generated product card images for sharing to WhatsApp Status/groups</w:t>
            </w:r>
          </w:p>
        </w:tc>
        <w:tc>
          <w:tcPr/>
          <w:p>
            <w:pPr>
              <w:pStyle w:val="Compact"/>
              <w:jc w:val="left"/>
            </w:pPr>
            <w:r>
              <w:t xml:space="preserve">Social selling activity</w:t>
            </w:r>
          </w:p>
        </w:tc>
      </w:tr>
      <w:tr>
        <w:tc>
          <w:tcPr/>
          <w:p>
            <w:pPr>
              <w:pStyle w:val="Compact"/>
              <w:jc w:val="left"/>
            </w:pPr>
            <w:r>
              <w:rPr>
                <w:b/>
                <w:bCs/>
              </w:rPr>
              <w:t xml:space="preserve">Flash Sales</w:t>
            </w:r>
          </w:p>
        </w:tc>
        <w:tc>
          <w:tcPr/>
          <w:p>
            <w:pPr>
              <w:pStyle w:val="Compact"/>
              <w:jc w:val="left"/>
            </w:pPr>
            <w:r>
              <w:t xml:space="preserve">Countdown timers, scarcity badges (</w:t>
            </w:r>
            <w:r>
              <w:t xml:space="preserve">“</w:t>
            </w:r>
            <w:r>
              <w:t xml:space="preserve">Only 3 left!</w:t>
            </w:r>
            <w:r>
              <w:t xml:space="preserve">”</w:t>
            </w:r>
            <w:r>
              <w:t xml:space="preserve">), discount campaigns</w:t>
            </w:r>
          </w:p>
        </w:tc>
        <w:tc>
          <w:tcPr/>
          <w:p>
            <w:pPr>
              <w:pStyle w:val="Compact"/>
              <w:jc w:val="left"/>
            </w:pPr>
            <w:r>
              <w:t xml:space="preserve">Sales velocity</w:t>
            </w:r>
          </w:p>
        </w:tc>
      </w:tr>
      <w:tr>
        <w:tc>
          <w:tcPr/>
          <w:p>
            <w:pPr>
              <w:pStyle w:val="Compact"/>
              <w:jc w:val="left"/>
            </w:pPr>
            <w:r>
              <w:rPr>
                <w:b/>
                <w:bCs/>
              </w:rPr>
              <w:t xml:space="preserve">Order Management</w:t>
            </w:r>
          </w:p>
        </w:tc>
        <w:tc>
          <w:tcPr/>
          <w:p>
            <w:pPr>
              <w:pStyle w:val="Compact"/>
              <w:jc w:val="left"/>
            </w:pPr>
            <w:r>
              <w:t xml:space="preserve">Full order lifecycle: placed → confirmed → shipped → delivered</w:t>
            </w:r>
          </w:p>
        </w:tc>
        <w:tc>
          <w:tcPr/>
          <w:p>
            <w:pPr>
              <w:pStyle w:val="Compact"/>
              <w:jc w:val="left"/>
            </w:pPr>
            <w:r>
              <w:t xml:space="preserve">Fulfillment rate</w:t>
            </w:r>
          </w:p>
        </w:tc>
      </w:tr>
      <w:tr>
        <w:tc>
          <w:tcPr/>
          <w:p>
            <w:pPr>
              <w:pStyle w:val="Compact"/>
              <w:jc w:val="left"/>
            </w:pPr>
            <w:r>
              <w:rPr>
                <w:b/>
                <w:bCs/>
              </w:rPr>
              <w:t xml:space="preserve">Customer Reviews</w:t>
            </w:r>
          </w:p>
        </w:tc>
        <w:tc>
          <w:tcPr/>
          <w:p>
            <w:pPr>
              <w:pStyle w:val="Compact"/>
              <w:jc w:val="left"/>
            </w:pPr>
            <w:r>
              <w:t xml:space="preserve">Verified purchase reviews with photos</w:t>
            </w:r>
          </w:p>
        </w:tc>
        <w:tc>
          <w:tcPr/>
          <w:p>
            <w:pPr>
              <w:pStyle w:val="Compact"/>
              <w:jc w:val="left"/>
            </w:pPr>
            <w:r>
              <w:t xml:space="preserve">Customer satisfaction</w:t>
            </w:r>
          </w:p>
        </w:tc>
      </w:tr>
    </w:tbl>
    <w:p>
      <w:pPr>
        <w:pStyle w:val="a0"/>
      </w:pPr>
      <w:r>
        <w:rPr>
          <w:b/>
          <w:bCs/>
        </w:rPr>
        <w:t xml:space="preserve">Credit Scoring Integration:</w:t>
      </w:r>
      <w:r>
        <w:t xml:space="preserve"> </w:t>
      </w:r>
      <w:r>
        <w:t xml:space="preserve">Soko sales performance contributes</w:t>
      </w:r>
      <w:r>
        <w:t xml:space="preserve"> </w:t>
      </w:r>
      <w:r>
        <w:rPr>
          <w:b/>
          <w:bCs/>
        </w:rPr>
        <w:t xml:space="preserve">20% of the Trust Score</w:t>
      </w:r>
      <w:r>
        <w:t xml:space="preserve"> </w:t>
      </w:r>
      <w:r>
        <w:t xml:space="preserve">— tied with Chama as the second-highest weighted factor. GMV (monthly sales volume relative to category peers) carries 40% weight within the Soko factor, followed by customer ratings (25%), fulfillment rate (20%), and inventory turnover (15%). Merchants with strong, consistent sales on Soko automatically qualify for pre-approved working capital loans on Biashara — creating the core cross-product flywheel.</w:t>
      </w:r>
    </w:p>
    <w:p>
      <w:r>
        <w:pict>
          <v:rect style="width:0;height:1.5pt" o:hralign="center" o:hrstd="t" o:hr="t"/>
        </w:pict>
      </w:r>
    </w:p>
    <w:bookmarkEnd w:id="55"/>
    <w:bookmarkEnd w:id="56"/>
    <w:bookmarkStart w:id="61" w:name="technical-infitecture-engineering"/>
    <w:p>
      <w:pPr>
        <w:pStyle w:val="2"/>
      </w:pPr>
      <w:r>
        <w:t xml:space="preserve">6. TECHNICAL INFITECTURE &amp; ENGINEERING</w:t>
      </w:r>
    </w:p>
    <w:bookmarkStart w:id="57" w:name="frontend-architecture"/>
    <w:p>
      <w:pPr>
        <w:pStyle w:val="3"/>
      </w:pPr>
      <w:r>
        <w:t xml:space="preserve">6.1 Frontend Architecture</w:t>
      </w:r>
    </w:p>
    <w:p>
      <w:pPr>
        <w:pStyle w:val="FirstParagraph"/>
      </w:pPr>
      <w:r>
        <w:t xml:space="preserve">The TWENDE frontend is built on a modern React 18 + TypeScript + Tailwind CSS v4 stack, optimized for mobile-first delivery in markets with variable network connectivity.</w:t>
      </w:r>
    </w:p>
    <w:tbl>
      <w:tblPr>
        <w:tblStyle w:val="Table"/>
        <w:tblW w:type="pct" w:w="5000"/>
        <w:jc w:val="left"/>
        <w:tblLayout w:type="fixed"/>
        <w:tblLook w:firstRow="1" w:lastRow="0" w:firstColumn="0" w:lastColumn="0" w:noHBand="0" w:noVBand="0" w:val="0020"/>
      </w:tblPr>
      <w:tblGrid>
        <w:gridCol w:w="3004"/>
        <w:gridCol w:w="2457"/>
        <w:gridCol w:w="2457"/>
      </w:tblGrid>
      <w:tr>
        <w:trPr>
          <w:tblHeader w:val="on"/>
        </w:trPr>
        <w:tc>
          <w:tcPr/>
          <w:p>
            <w:pPr>
              <w:pStyle w:val="Compact"/>
              <w:jc w:val="left"/>
            </w:pPr>
            <w:r>
              <w:t xml:space="preserve">Technology</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React</w:t>
            </w:r>
          </w:p>
        </w:tc>
        <w:tc>
          <w:tcPr/>
          <w:p>
            <w:pPr>
              <w:pStyle w:val="Compact"/>
              <w:jc w:val="left"/>
            </w:pPr>
            <w:r>
              <w:t xml:space="preserve">18.x</w:t>
            </w:r>
          </w:p>
        </w:tc>
        <w:tc>
          <w:tcPr/>
          <w:p>
            <w:pPr>
              <w:pStyle w:val="Compact"/>
              <w:jc w:val="left"/>
            </w:pPr>
            <w:r>
              <w:t xml:space="preserve">UI framework with concurrent features</w:t>
            </w:r>
          </w:p>
        </w:tc>
      </w:tr>
      <w:tr>
        <w:tc>
          <w:tcPr/>
          <w:p>
            <w:pPr>
              <w:pStyle w:val="Compact"/>
              <w:jc w:val="left"/>
            </w:pPr>
            <w:r>
              <w:t xml:space="preserve">TypeScript</w:t>
            </w:r>
          </w:p>
        </w:tc>
        <w:tc>
          <w:tcPr/>
          <w:p>
            <w:pPr>
              <w:pStyle w:val="Compact"/>
              <w:jc w:val="left"/>
            </w:pPr>
            <w:r>
              <w:t xml:space="preserve">5.x</w:t>
            </w:r>
          </w:p>
        </w:tc>
        <w:tc>
          <w:tcPr/>
          <w:p>
            <w:pPr>
              <w:pStyle w:val="Compact"/>
              <w:jc w:val="left"/>
            </w:pPr>
            <w:r>
              <w:t xml:space="preserve">Type safety across all components</w:t>
            </w:r>
          </w:p>
        </w:tc>
      </w:tr>
      <w:tr>
        <w:tc>
          <w:tcPr/>
          <w:p>
            <w:pPr>
              <w:pStyle w:val="Compact"/>
              <w:jc w:val="left"/>
            </w:pPr>
            <w:r>
              <w:t xml:space="preserve">Vite</w:t>
            </w:r>
          </w:p>
        </w:tc>
        <w:tc>
          <w:tcPr/>
          <w:p>
            <w:pPr>
              <w:pStyle w:val="Compact"/>
              <w:jc w:val="left"/>
            </w:pPr>
            <w:r>
              <w:t xml:space="preserve">5.x</w:t>
            </w:r>
          </w:p>
        </w:tc>
        <w:tc>
          <w:tcPr/>
          <w:p>
            <w:pPr>
              <w:pStyle w:val="Compact"/>
              <w:jc w:val="left"/>
            </w:pPr>
            <w:r>
              <w:t xml:space="preserve">Build tool with fast HMR and optimized bundling</w:t>
            </w:r>
          </w:p>
        </w:tc>
      </w:tr>
      <w:tr>
        <w:tc>
          <w:tcPr/>
          <w:p>
            <w:pPr>
              <w:pStyle w:val="Compact"/>
              <w:jc w:val="left"/>
            </w:pPr>
            <w:r>
              <w:t xml:space="preserve">Tailwind CSS</w:t>
            </w:r>
          </w:p>
        </w:tc>
        <w:tc>
          <w:tcPr/>
          <w:p>
            <w:pPr>
              <w:pStyle w:val="Compact"/>
              <w:jc w:val="left"/>
            </w:pPr>
            <w:r>
              <w:t xml:space="preserve">4.x</w:t>
            </w:r>
          </w:p>
        </w:tc>
        <w:tc>
          <w:tcPr/>
          <w:p>
            <w:pPr>
              <w:pStyle w:val="Compact"/>
              <w:jc w:val="left"/>
            </w:pPr>
            <w:r>
              <w:t xml:space="preserve">Utility-first styling with custom design tokens</w:t>
            </w:r>
          </w:p>
        </w:tc>
      </w:tr>
      <w:tr>
        <w:tc>
          <w:tcPr/>
          <w:p>
            <w:pPr>
              <w:pStyle w:val="Compact"/>
              <w:jc w:val="left"/>
            </w:pPr>
            <w:r>
              <w:t xml:space="preserve">React Router</w:t>
            </w:r>
          </w:p>
        </w:tc>
        <w:tc>
          <w:tcPr/>
          <w:p>
            <w:pPr>
              <w:pStyle w:val="Compact"/>
              <w:jc w:val="left"/>
            </w:pPr>
            <w:r>
              <w:t xml:space="preserve">6.x</w:t>
            </w:r>
          </w:p>
        </w:tc>
        <w:tc>
          <w:tcPr/>
          <w:p>
            <w:pPr>
              <w:pStyle w:val="Compact"/>
              <w:jc w:val="left"/>
            </w:pPr>
            <w:r>
              <w:t xml:space="preserve">HashRouter for static hosting compatibility</w:t>
            </w:r>
          </w:p>
        </w:tc>
      </w:tr>
      <w:tr>
        <w:tc>
          <w:tcPr/>
          <w:p>
            <w:pPr>
              <w:pStyle w:val="Compact"/>
              <w:jc w:val="left"/>
            </w:pPr>
            <w:r>
              <w:t xml:space="preserve">Recharts</w:t>
            </w:r>
          </w:p>
        </w:tc>
        <w:tc>
          <w:tcPr/>
          <w:p>
            <w:pPr>
              <w:pStyle w:val="Compact"/>
              <w:jc w:val="left"/>
            </w:pPr>
            <w:r>
              <w:t xml:space="preserve">2.x</w:t>
            </w:r>
          </w:p>
        </w:tc>
        <w:tc>
          <w:tcPr/>
          <w:p>
            <w:pPr>
              <w:pStyle w:val="Compact"/>
              <w:jc w:val="left"/>
            </w:pPr>
            <w:r>
              <w:t xml:space="preserve">Data visualization (line charts, bar charts, radar charts, gauges)</w:t>
            </w:r>
          </w:p>
        </w:tc>
      </w:tr>
      <w:tr>
        <w:tc>
          <w:tcPr/>
          <w:p>
            <w:pPr>
              <w:pStyle w:val="Compact"/>
              <w:jc w:val="left"/>
            </w:pPr>
            <w:r>
              <w:t xml:space="preserve">Lucide React</w:t>
            </w:r>
          </w:p>
        </w:tc>
        <w:tc>
          <w:tcPr/>
          <w:p>
            <w:pPr>
              <w:pStyle w:val="Compact"/>
              <w:jc w:val="left"/>
            </w:pPr>
            <w:r>
              <w:t xml:space="preserve">Latest</w:t>
            </w:r>
          </w:p>
        </w:tc>
        <w:tc>
          <w:tcPr/>
          <w:p>
            <w:pPr>
              <w:pStyle w:val="Compact"/>
              <w:jc w:val="left"/>
            </w:pPr>
            <w:r>
              <w:t xml:space="preserve">Icon system</w:t>
            </w:r>
          </w:p>
        </w:tc>
      </w:tr>
      <w:tr>
        <w:tc>
          <w:tcPr/>
          <w:p>
            <w:pPr>
              <w:pStyle w:val="Compact"/>
              <w:jc w:val="left"/>
            </w:pPr>
            <w:r>
              <w:t xml:space="preserve">Zustand</w:t>
            </w:r>
          </w:p>
        </w:tc>
        <w:tc>
          <w:tcPr/>
          <w:p>
            <w:pPr>
              <w:pStyle w:val="Compact"/>
              <w:jc w:val="left"/>
            </w:pPr>
            <w:r>
              <w:t xml:space="preserve">Latest</w:t>
            </w:r>
          </w:p>
        </w:tc>
        <w:tc>
          <w:tcPr/>
          <w:p>
            <w:pPr>
              <w:pStyle w:val="Compact"/>
              <w:jc w:val="left"/>
            </w:pPr>
            <w:r>
              <w:t xml:space="preserve">Lightweight state management</w:t>
            </w:r>
          </w:p>
        </w:tc>
      </w:tr>
    </w:tbl>
    <w:p>
      <w:pPr>
        <w:pStyle w:val="a0"/>
      </w:pPr>
      <w:r>
        <w:rPr>
          <w:b/>
          <w:bCs/>
        </w:rPr>
        <w:t xml:space="preserve">Design System:</w:t>
      </w:r>
      <w:r>
        <w:t xml:space="preserve"> </w:t>
      </w:r>
      <w:r>
        <w:t xml:space="preserve">TWENDE employs a 13-token color system with semantic naming: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Token</w:t>
            </w:r>
          </w:p>
        </w:tc>
        <w:tc>
          <w:tcPr/>
          <w:p>
            <w:pPr>
              <w:pStyle w:val="Compact"/>
              <w:jc w:val="left"/>
            </w:pPr>
            <w:r>
              <w:t xml:space="preserve">Hex</w:t>
            </w:r>
          </w:p>
        </w:tc>
        <w:tc>
          <w:tcPr/>
          <w:p>
            <w:pPr>
              <w:pStyle w:val="Compact"/>
              <w:jc w:val="left"/>
            </w:pPr>
            <w:r>
              <w:t xml:space="preserve">Usage</w:t>
            </w:r>
          </w:p>
        </w:tc>
      </w:tr>
      <w:tr>
        <w:tc>
          <w:tcPr/>
          <w:p>
            <w:pPr>
              <w:pStyle w:val="Compact"/>
              <w:jc w:val="left"/>
            </w:pPr>
            <w:r>
              <w:t xml:space="preserve">Ocean</w:t>
            </w:r>
          </w:p>
        </w:tc>
        <w:tc>
          <w:tcPr/>
          <w:p>
            <w:pPr>
              <w:pStyle w:val="Compact"/>
              <w:jc w:val="left"/>
            </w:pPr>
            <w:r>
              <w:t xml:space="preserve">#0A2463</w:t>
            </w:r>
          </w:p>
        </w:tc>
        <w:tc>
          <w:tcPr/>
          <w:p>
            <w:pPr>
              <w:pStyle w:val="Compact"/>
              <w:jc w:val="left"/>
            </w:pPr>
            <w:r>
              <w:t xml:space="preserve">Primary brand, navigation</w:t>
            </w:r>
          </w:p>
        </w:tc>
      </w:tr>
      <w:tr>
        <w:tc>
          <w:tcPr/>
          <w:p>
            <w:pPr>
              <w:pStyle w:val="Compact"/>
              <w:jc w:val="left"/>
            </w:pPr>
            <w:r>
              <w:t xml:space="preserve">Sunrise</w:t>
            </w:r>
          </w:p>
        </w:tc>
        <w:tc>
          <w:tcPr/>
          <w:p>
            <w:pPr>
              <w:pStyle w:val="Compact"/>
              <w:jc w:val="left"/>
            </w:pPr>
            <w:r>
              <w:t xml:space="preserve">#FF6B35</w:t>
            </w:r>
          </w:p>
        </w:tc>
        <w:tc>
          <w:tcPr/>
          <w:p>
            <w:pPr>
              <w:pStyle w:val="Compact"/>
              <w:jc w:val="left"/>
            </w:pPr>
            <w:r>
              <w:t xml:space="preserve">CTAs, accents, highlights</w:t>
            </w:r>
          </w:p>
        </w:tc>
      </w:tr>
      <w:tr>
        <w:tc>
          <w:tcPr/>
          <w:p>
            <w:pPr>
              <w:pStyle w:val="Compact"/>
              <w:jc w:val="left"/>
            </w:pPr>
            <w:r>
              <w:t xml:space="preserve">Fresh</w:t>
            </w:r>
          </w:p>
        </w:tc>
        <w:tc>
          <w:tcPr/>
          <w:p>
            <w:pPr>
              <w:pStyle w:val="Compact"/>
              <w:jc w:val="left"/>
            </w:pPr>
            <w:r>
              <w:t xml:space="preserve">#2ECC71</w:t>
            </w:r>
          </w:p>
        </w:tc>
        <w:tc>
          <w:tcPr/>
          <w:p>
            <w:pPr>
              <w:pStyle w:val="Compact"/>
              <w:jc w:val="left"/>
            </w:pPr>
            <w:r>
              <w:t xml:space="preserve">Success states, positive indicators</w:t>
            </w:r>
          </w:p>
        </w:tc>
      </w:tr>
      <w:tr>
        <w:tc>
          <w:tcPr/>
          <w:p>
            <w:pPr>
              <w:pStyle w:val="Compact"/>
              <w:jc w:val="left"/>
            </w:pPr>
            <w:r>
              <w:t xml:space="preserve">Coral</w:t>
            </w:r>
          </w:p>
        </w:tc>
        <w:tc>
          <w:tcPr/>
          <w:p>
            <w:pPr>
              <w:pStyle w:val="Compact"/>
              <w:jc w:val="left"/>
            </w:pPr>
            <w:r>
              <w:t xml:space="preserve">#E74C3C</w:t>
            </w:r>
          </w:p>
        </w:tc>
        <w:tc>
          <w:tcPr/>
          <w:p>
            <w:pPr>
              <w:pStyle w:val="Compact"/>
              <w:jc w:val="left"/>
            </w:pPr>
            <w:r>
              <w:t xml:space="preserve">Error states, warnings, alerts</w:t>
            </w:r>
          </w:p>
        </w:tc>
      </w:tr>
      <w:tr>
        <w:tc>
          <w:tcPr/>
          <w:p>
            <w:pPr>
              <w:pStyle w:val="Compact"/>
              <w:jc w:val="left"/>
            </w:pPr>
            <w:r>
              <w:t xml:space="preserve">Linda Purple</w:t>
            </w:r>
          </w:p>
        </w:tc>
        <w:tc>
          <w:tcPr/>
          <w:p>
            <w:pPr>
              <w:pStyle w:val="Compact"/>
              <w:jc w:val="left"/>
            </w:pPr>
            <w:r>
              <w:t xml:space="preserve">#9B59B6</w:t>
            </w:r>
          </w:p>
        </w:tc>
        <w:tc>
          <w:tcPr/>
          <w:p>
            <w:pPr>
              <w:pStyle w:val="Compact"/>
              <w:jc w:val="left"/>
            </w:pPr>
            <w:r>
              <w:t xml:space="preserve">Insurance pillar branding</w:t>
            </w:r>
          </w:p>
        </w:tc>
      </w:tr>
      <w:tr>
        <w:tc>
          <w:tcPr/>
          <w:p>
            <w:pPr>
              <w:pStyle w:val="Compact"/>
              <w:jc w:val="left"/>
            </w:pPr>
            <w:r>
              <w:t xml:space="preserve">Kazi Teal</w:t>
            </w:r>
          </w:p>
        </w:tc>
        <w:tc>
          <w:tcPr/>
          <w:p>
            <w:pPr>
              <w:pStyle w:val="Compact"/>
              <w:jc w:val="left"/>
            </w:pPr>
            <w:r>
              <w:t xml:space="preserve">#1ABC9C</w:t>
            </w:r>
          </w:p>
        </w:tc>
        <w:tc>
          <w:tcPr/>
          <w:p>
            <w:pPr>
              <w:pStyle w:val="Compact"/>
              <w:jc w:val="left"/>
            </w:pPr>
            <w:r>
              <w:t xml:space="preserve">Gig work pillar branding</w:t>
            </w:r>
          </w:p>
        </w:tc>
      </w:tr>
      <w:tr>
        <w:tc>
          <w:tcPr/>
          <w:p>
            <w:pPr>
              <w:pStyle w:val="Compact"/>
              <w:jc w:val="left"/>
            </w:pPr>
            <w:r>
              <w:t xml:space="preserve">Soko Pink</w:t>
            </w:r>
          </w:p>
        </w:tc>
        <w:tc>
          <w:tcPr/>
          <w:p>
            <w:pPr>
              <w:pStyle w:val="Compact"/>
              <w:jc w:val="left"/>
            </w:pPr>
            <w:r>
              <w:t xml:space="preserve">#FF6B6B</w:t>
            </w:r>
          </w:p>
        </w:tc>
        <w:tc>
          <w:tcPr/>
          <w:p>
            <w:pPr>
              <w:pStyle w:val="Compact"/>
              <w:jc w:val="left"/>
            </w:pPr>
            <w:r>
              <w:t xml:space="preserve">Commerce pillar branding</w:t>
            </w:r>
          </w:p>
        </w:tc>
      </w:tr>
    </w:tbl>
    <w:p>
      <w:pPr>
        <w:pStyle w:val="a0"/>
      </w:pPr>
      <w:r>
        <w:rPr>
          <w:b/>
          <w:bCs/>
        </w:rPr>
        <w:t xml:space="preserve">Bundle Optimization:</w:t>
      </w:r>
      <w:r>
        <w:t xml:space="preserve"> </w:t>
      </w:r>
      <w:r>
        <w:t xml:space="preserve">The production bundle is</w:t>
      </w:r>
      <w:r>
        <w:t xml:space="preserve"> </w:t>
      </w:r>
      <w:r>
        <w:rPr>
          <w:b/>
          <w:bCs/>
        </w:rPr>
        <w:t xml:space="preserve">832 KB JS + 43 KB CSS</w:t>
      </w:r>
      <w:r>
        <w:t xml:space="preserve">, loaded via code splitting and lazy loading. Route-level code splitting ensures users download only the JavaScript needed for their current view, critical for markets with limited data plans and slow connections.</w:t>
      </w:r>
    </w:p>
    <w:bookmarkEnd w:id="57"/>
    <w:bookmarkStart w:id="58" w:name="backend-architecture-planned"/>
    <w:p>
      <w:pPr>
        <w:pStyle w:val="3"/>
      </w:pPr>
      <w:r>
        <w:t xml:space="preserve">6.2 Backend Architecture (Planned)</w:t>
      </w:r>
    </w:p>
    <w:p>
      <w:pPr>
        <w:pStyle w:val="FirstParagraph"/>
      </w:pPr>
      <w:r>
        <w:t xml:space="preserve">The production backend will be implemented as a</w:t>
      </w:r>
      <w:r>
        <w:t xml:space="preserve"> </w:t>
      </w:r>
      <w:r>
        <w:rPr>
          <w:b/>
          <w:bCs/>
        </w:rPr>
        <w:t xml:space="preserve">microservices architecture</w:t>
      </w:r>
      <w:r>
        <w:t xml:space="preserve"> </w:t>
      </w:r>
      <w:r>
        <w:t xml:space="preserve">on Node.js + Express, with the following service topology:</w:t>
      </w:r>
    </w:p>
    <w:tbl>
      <w:tblPr>
        <w:tblStyle w:val="Table"/>
        <w:tblW w:type="pct" w:w="5000"/>
        <w:jc w:val="left"/>
        <w:tblLayout w:type="fixed"/>
        <w:tblLook w:firstRow="1" w:lastRow="0" w:firstColumn="0" w:lastColumn="0" w:noHBand="0" w:noVBand="0" w:val="0020"/>
      </w:tblPr>
      <w:tblGrid>
        <w:gridCol w:w="2036"/>
        <w:gridCol w:w="2489"/>
        <w:gridCol w:w="3394"/>
      </w:tblGrid>
      <w:tr>
        <w:trPr>
          <w:tblHeader w:val="on"/>
        </w:trPr>
        <w:tc>
          <w:tcPr/>
          <w:p>
            <w:pPr>
              <w:pStyle w:val="Compact"/>
              <w:jc w:val="left"/>
            </w:pPr>
            <w:r>
              <w:t xml:space="preserve">Service</w:t>
            </w:r>
          </w:p>
        </w:tc>
        <w:tc>
          <w:tcPr/>
          <w:p>
            <w:pPr>
              <w:pStyle w:val="Compact"/>
              <w:jc w:val="left"/>
            </w:pPr>
            <w:r>
              <w:t xml:space="preserve">Technology</w:t>
            </w:r>
          </w:p>
        </w:tc>
        <w:tc>
          <w:tcPr/>
          <w:p>
            <w:pPr>
              <w:pStyle w:val="Compact"/>
              <w:jc w:val="left"/>
            </w:pPr>
            <w:r>
              <w:t xml:space="preserve">Responsibility</w:t>
            </w:r>
          </w:p>
        </w:tc>
      </w:tr>
      <w:tr>
        <w:tc>
          <w:tcPr/>
          <w:p>
            <w:pPr>
              <w:pStyle w:val="Compact"/>
              <w:jc w:val="left"/>
            </w:pPr>
            <w:r>
              <w:rPr>
                <w:b/>
                <w:bCs/>
              </w:rPr>
              <w:t xml:space="preserve">API Gateway</w:t>
            </w:r>
          </w:p>
        </w:tc>
        <w:tc>
          <w:tcPr/>
          <w:p>
            <w:pPr>
              <w:pStyle w:val="Compact"/>
              <w:jc w:val="left"/>
            </w:pPr>
            <w:r>
              <w:t xml:space="preserve">Kong</w:t>
            </w:r>
          </w:p>
        </w:tc>
        <w:tc>
          <w:tcPr/>
          <w:p>
            <w:pPr>
              <w:pStyle w:val="Compact"/>
              <w:jc w:val="left"/>
            </w:pPr>
            <w:r>
              <w:t xml:space="preserve">Authentication, rate limiting, routing, logging</w:t>
            </w:r>
          </w:p>
        </w:tc>
      </w:tr>
      <w:tr>
        <w:tc>
          <w:tcPr/>
          <w:p>
            <w:pPr>
              <w:pStyle w:val="Compact"/>
              <w:jc w:val="left"/>
            </w:pPr>
            <w:r>
              <w:rPr>
                <w:b/>
                <w:bCs/>
              </w:rPr>
              <w:t xml:space="preserve">User Service</w:t>
            </w:r>
          </w:p>
        </w:tc>
        <w:tc>
          <w:tcPr/>
          <w:p>
            <w:pPr>
              <w:pStyle w:val="Compact"/>
              <w:jc w:val="left"/>
            </w:pPr>
            <w:r>
              <w:t xml:space="preserve">Node.js + Express + Drizzle</w:t>
            </w:r>
          </w:p>
        </w:tc>
        <w:tc>
          <w:tcPr/>
          <w:p>
            <w:pPr>
              <w:pStyle w:val="Compact"/>
              <w:jc w:val="left"/>
            </w:pPr>
            <w:r>
              <w:t xml:space="preserve">User management, KYC, profiles</w:t>
            </w:r>
          </w:p>
        </w:tc>
      </w:tr>
      <w:tr>
        <w:tc>
          <w:tcPr/>
          <w:p>
            <w:pPr>
              <w:pStyle w:val="Compact"/>
              <w:jc w:val="left"/>
            </w:pPr>
            <w:r>
              <w:rPr>
                <w:b/>
                <w:bCs/>
              </w:rPr>
              <w:t xml:space="preserve">Chama Service</w:t>
            </w:r>
          </w:p>
        </w:tc>
        <w:tc>
          <w:tcPr/>
          <w:p>
            <w:pPr>
              <w:pStyle w:val="Compact"/>
              <w:jc w:val="left"/>
            </w:pPr>
            <w:r>
              <w:t xml:space="preserve">Node.js + Express + Drizzle</w:t>
            </w:r>
          </w:p>
        </w:tc>
        <w:tc>
          <w:tcPr/>
          <w:p>
            <w:pPr>
              <w:pStyle w:val="Compact"/>
              <w:jc w:val="left"/>
            </w:pPr>
            <w:r>
              <w:t xml:space="preserve">ROSCA management, contributions, rotations</w:t>
            </w:r>
          </w:p>
        </w:tc>
      </w:tr>
      <w:tr>
        <w:tc>
          <w:tcPr/>
          <w:p>
            <w:pPr>
              <w:pStyle w:val="Compact"/>
              <w:jc w:val="left"/>
            </w:pPr>
            <w:r>
              <w:rPr>
                <w:b/>
                <w:bCs/>
              </w:rPr>
              <w:t xml:space="preserve">Biashara Service</w:t>
            </w:r>
          </w:p>
        </w:tc>
        <w:tc>
          <w:tcPr/>
          <w:p>
            <w:pPr>
              <w:pStyle w:val="Compact"/>
              <w:jc w:val="left"/>
            </w:pPr>
            <w:r>
              <w:t xml:space="preserve">Node.js + Express + Drizzle</w:t>
            </w:r>
          </w:p>
        </w:tc>
        <w:tc>
          <w:tcPr/>
          <w:p>
            <w:pPr>
              <w:pStyle w:val="Compact"/>
              <w:jc w:val="left"/>
            </w:pPr>
            <w:r>
              <w:t xml:space="preserve">Loan origination, repayment, scheduling</w:t>
            </w:r>
          </w:p>
        </w:tc>
      </w:tr>
      <w:tr>
        <w:tc>
          <w:tcPr/>
          <w:p>
            <w:pPr>
              <w:pStyle w:val="Compact"/>
              <w:jc w:val="left"/>
            </w:pPr>
            <w:r>
              <w:rPr>
                <w:b/>
                <w:bCs/>
              </w:rPr>
              <w:t xml:space="preserve">Kazi Service</w:t>
            </w:r>
          </w:p>
        </w:tc>
        <w:tc>
          <w:tcPr/>
          <w:p>
            <w:pPr>
              <w:pStyle w:val="Compact"/>
              <w:jc w:val="left"/>
            </w:pPr>
            <w:r>
              <w:t xml:space="preserve">Node.js + Express + Drizzle</w:t>
            </w:r>
          </w:p>
        </w:tc>
        <w:tc>
          <w:tcPr/>
          <w:p>
            <w:pPr>
              <w:pStyle w:val="Compact"/>
              <w:jc w:val="left"/>
            </w:pPr>
            <w:r>
              <w:t xml:space="preserve">Gig posting, matching, completion tracking</w:t>
            </w:r>
          </w:p>
        </w:tc>
      </w:tr>
      <w:tr>
        <w:tc>
          <w:tcPr/>
          <w:p>
            <w:pPr>
              <w:pStyle w:val="Compact"/>
              <w:jc w:val="left"/>
            </w:pPr>
            <w:r>
              <w:rPr>
                <w:b/>
                <w:bCs/>
              </w:rPr>
              <w:t xml:space="preserve">Linda Service</w:t>
            </w:r>
          </w:p>
        </w:tc>
        <w:tc>
          <w:tcPr/>
          <w:p>
            <w:pPr>
              <w:pStyle w:val="Compact"/>
              <w:jc w:val="left"/>
            </w:pPr>
            <w:r>
              <w:t xml:space="preserve">Node.js + Express + Drizzle</w:t>
            </w:r>
          </w:p>
        </w:tc>
        <w:tc>
          <w:tcPr/>
          <w:p>
            <w:pPr>
              <w:pStyle w:val="Compact"/>
              <w:jc w:val="left"/>
            </w:pPr>
            <w:r>
              <w:t xml:space="preserve">Insurance policies, claims, underwriting</w:t>
            </w:r>
          </w:p>
        </w:tc>
      </w:tr>
      <w:tr>
        <w:tc>
          <w:tcPr/>
          <w:p>
            <w:pPr>
              <w:pStyle w:val="Compact"/>
              <w:jc w:val="left"/>
            </w:pPr>
            <w:r>
              <w:rPr>
                <w:b/>
                <w:bCs/>
              </w:rPr>
              <w:t xml:space="preserve">Soko Service</w:t>
            </w:r>
          </w:p>
        </w:tc>
        <w:tc>
          <w:tcPr/>
          <w:p>
            <w:pPr>
              <w:pStyle w:val="Compact"/>
              <w:jc w:val="left"/>
            </w:pPr>
            <w:r>
              <w:t xml:space="preserve">Node.js + Express + Drizzle</w:t>
            </w:r>
          </w:p>
        </w:tc>
        <w:tc>
          <w:tcPr/>
          <w:p>
            <w:pPr>
              <w:pStyle w:val="Compact"/>
              <w:jc w:val="left"/>
            </w:pPr>
            <w:r>
              <w:t xml:space="preserve">Marketplace, orders, vendor management</w:t>
            </w:r>
          </w:p>
        </w:tc>
      </w:tr>
      <w:tr>
        <w:tc>
          <w:tcPr/>
          <w:p>
            <w:pPr>
              <w:pStyle w:val="Compact"/>
              <w:jc w:val="left"/>
            </w:pPr>
            <w:r>
              <w:rPr>
                <w:b/>
                <w:bCs/>
              </w:rPr>
              <w:t xml:space="preserve">Trust Engine Service</w:t>
            </w:r>
          </w:p>
        </w:tc>
        <w:tc>
          <w:tcPr/>
          <w:p>
            <w:pPr>
              <w:pStyle w:val="Compact"/>
              <w:jc w:val="left"/>
            </w:pPr>
            <w:r>
              <w:t xml:space="preserve">Python + FastAPI + XGBoost</w:t>
            </w:r>
          </w:p>
        </w:tc>
        <w:tc>
          <w:tcPr/>
          <w:p>
            <w:pPr>
              <w:pStyle w:val="Compact"/>
              <w:jc w:val="left"/>
            </w:pPr>
            <w:r>
              <w:t xml:space="preserve">Score calculation, SHAP explanations, eligibility</w:t>
            </w:r>
          </w:p>
        </w:tc>
      </w:tr>
      <w:tr>
        <w:tc>
          <w:tcPr/>
          <w:p>
            <w:pPr>
              <w:pStyle w:val="Compact"/>
              <w:jc w:val="left"/>
            </w:pPr>
            <w:r>
              <w:rPr>
                <w:b/>
                <w:bCs/>
              </w:rPr>
              <w:t xml:space="preserve">Notification Service</w:t>
            </w:r>
          </w:p>
        </w:tc>
        <w:tc>
          <w:tcPr/>
          <w:p>
            <w:pPr>
              <w:pStyle w:val="Compact"/>
              <w:jc w:val="left"/>
            </w:pPr>
            <w:r>
              <w:t xml:space="preserve">Node.js + BullMQ</w:t>
            </w:r>
          </w:p>
        </w:tc>
        <w:tc>
          <w:tcPr/>
          <w:p>
            <w:pPr>
              <w:pStyle w:val="Compact"/>
              <w:jc w:val="left"/>
            </w:pPr>
            <w:r>
              <w:t xml:space="preserve">SMS, push notifications, email</w:t>
            </w:r>
          </w:p>
        </w:tc>
      </w:tr>
      <w:tr>
        <w:tc>
          <w:tcPr/>
          <w:p>
            <w:pPr>
              <w:pStyle w:val="Compact"/>
              <w:jc w:val="left"/>
            </w:pPr>
            <w:r>
              <w:rPr>
                <w:b/>
                <w:bCs/>
              </w:rPr>
              <w:t xml:space="preserve">Analytics Service</w:t>
            </w:r>
          </w:p>
        </w:tc>
        <w:tc>
          <w:tcPr/>
          <w:p>
            <w:pPr>
              <w:pStyle w:val="Compact"/>
              <w:jc w:val="left"/>
            </w:pPr>
            <w:r>
              <w:t xml:space="preserve">Node.js + ClickHouse</w:t>
            </w:r>
          </w:p>
        </w:tc>
        <w:tc>
          <w:tcPr/>
          <w:p>
            <w:pPr>
              <w:pStyle w:val="Compact"/>
              <w:jc w:val="left"/>
            </w:pPr>
            <w:r>
              <w:t xml:space="preserve">Dashboards, reporting, BI</w:t>
            </w:r>
          </w:p>
        </w:tc>
      </w:tr>
    </w:tbl>
    <w:p>
      <w:pPr>
        <w:pStyle w:val="a0"/>
      </w:pPr>
      <w:r>
        <w:rPr>
          <w:b/>
          <w:bCs/>
        </w:rPr>
        <w:t xml:space="preserve">Data Layer:</w:t>
      </w:r>
    </w:p>
    <w:tbl>
      <w:tblPr>
        <w:tblStyle w:val="Table"/>
        <w:tblW w:type="pct" w:w="5000"/>
        <w:jc w:val="left"/>
        <w:tblLayout w:type="fixed"/>
        <w:tblLook w:firstRow="1" w:lastRow="0" w:firstColumn="0" w:lastColumn="0" w:noHBand="0" w:noVBand="0" w:val="0020"/>
      </w:tblPr>
      <w:tblGrid>
        <w:gridCol w:w="2810"/>
        <w:gridCol w:w="2810"/>
        <w:gridCol w:w="2299"/>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Primary Database</w:t>
            </w:r>
          </w:p>
        </w:tc>
        <w:tc>
          <w:tcPr/>
          <w:p>
            <w:pPr>
              <w:pStyle w:val="Compact"/>
              <w:jc w:val="left"/>
            </w:pPr>
            <w:r>
              <w:t xml:space="preserve">PostgreSQL 15</w:t>
            </w:r>
          </w:p>
        </w:tc>
        <w:tc>
          <w:tcPr/>
          <w:p>
            <w:pPr>
              <w:pStyle w:val="Compact"/>
              <w:jc w:val="left"/>
            </w:pPr>
            <w:r>
              <w:t xml:space="preserve">All transactional data</w:t>
            </w:r>
          </w:p>
        </w:tc>
      </w:tr>
      <w:tr>
        <w:tc>
          <w:tcPr/>
          <w:p>
            <w:pPr>
              <w:pStyle w:val="Compact"/>
              <w:jc w:val="left"/>
            </w:pPr>
            <w:r>
              <w:t xml:space="preserve">Cache Layer</w:t>
            </w:r>
          </w:p>
        </w:tc>
        <w:tc>
          <w:tcPr/>
          <w:p>
            <w:pPr>
              <w:pStyle w:val="Compact"/>
              <w:jc w:val="left"/>
            </w:pPr>
            <w:r>
              <w:t xml:space="preserve">Redis 7</w:t>
            </w:r>
          </w:p>
        </w:tc>
        <w:tc>
          <w:tcPr/>
          <w:p>
            <w:pPr>
              <w:pStyle w:val="Compact"/>
              <w:jc w:val="left"/>
            </w:pPr>
            <w:r>
              <w:t xml:space="preserve">Session storage, eligibility cache, rate limiting</w:t>
            </w:r>
          </w:p>
        </w:tc>
      </w:tr>
      <w:tr>
        <w:tc>
          <w:tcPr/>
          <w:p>
            <w:pPr>
              <w:pStyle w:val="Compact"/>
              <w:jc w:val="left"/>
            </w:pPr>
            <w:r>
              <w:t xml:space="preserve">Message Bus</w:t>
            </w:r>
          </w:p>
        </w:tc>
        <w:tc>
          <w:tcPr/>
          <w:p>
            <w:pPr>
              <w:pStyle w:val="Compact"/>
              <w:jc w:val="left"/>
            </w:pPr>
            <w:r>
              <w:t xml:space="preserve">Apache Kafka 3.6</w:t>
            </w:r>
          </w:p>
        </w:tc>
        <w:tc>
          <w:tcPr/>
          <w:p>
            <w:pPr>
              <w:pStyle w:val="Compact"/>
              <w:jc w:val="left"/>
            </w:pPr>
            <w:r>
              <w:t xml:space="preserve">Cross-service event streaming (18 topics)</w:t>
            </w:r>
          </w:p>
        </w:tc>
      </w:tr>
      <w:tr>
        <w:tc>
          <w:tcPr/>
          <w:p>
            <w:pPr>
              <w:pStyle w:val="Compact"/>
              <w:jc w:val="left"/>
            </w:pPr>
            <w:r>
              <w:t xml:space="preserve">Data Warehouse</w:t>
            </w:r>
          </w:p>
        </w:tc>
        <w:tc>
          <w:tcPr/>
          <w:p>
            <w:pPr>
              <w:pStyle w:val="Compact"/>
              <w:jc w:val="left"/>
            </w:pPr>
            <w:r>
              <w:t xml:space="preserve">ClickHouse or BigQuery</w:t>
            </w:r>
          </w:p>
        </w:tc>
        <w:tc>
          <w:tcPr/>
          <w:p>
            <w:pPr>
              <w:pStyle w:val="Compact"/>
              <w:jc w:val="left"/>
            </w:pPr>
            <w:r>
              <w:t xml:space="preserve">Analytics, reporting, ML training data</w:t>
            </w:r>
          </w:p>
        </w:tc>
      </w:tr>
      <w:tr>
        <w:tc>
          <w:tcPr/>
          <w:p>
            <w:pPr>
              <w:pStyle w:val="Compact"/>
              <w:jc w:val="left"/>
            </w:pPr>
            <w:r>
              <w:t xml:space="preserve">Object Storage</w:t>
            </w:r>
          </w:p>
        </w:tc>
        <w:tc>
          <w:tcPr/>
          <w:p>
            <w:pPr>
              <w:pStyle w:val="Compact"/>
              <w:jc w:val="left"/>
            </w:pPr>
            <w:r>
              <w:t xml:space="preserve">AWS S3 / Cloudflare R2</w:t>
            </w:r>
          </w:p>
        </w:tc>
        <w:tc>
          <w:tcPr/>
          <w:p>
            <w:pPr>
              <w:pStyle w:val="Compact"/>
              <w:jc w:val="left"/>
            </w:pPr>
            <w:r>
              <w:t xml:space="preserve">Product images, user uploads</w:t>
            </w:r>
          </w:p>
        </w:tc>
      </w:tr>
    </w:tbl>
    <w:bookmarkEnd w:id="58"/>
    <w:bookmarkStart w:id="59" w:name="payment-integration"/>
    <w:p>
      <w:pPr>
        <w:pStyle w:val="3"/>
      </w:pPr>
      <w:r>
        <w:t xml:space="preserve">6.3 Payment Integration</w:t>
      </w:r>
    </w:p>
    <w:p>
      <w:pPr>
        <w:pStyle w:val="FirstParagraph"/>
      </w:pPr>
      <w:r>
        <w:t xml:space="preserve">TWENDE integrates with mobile money providers through their respective APIs:</w:t>
      </w:r>
    </w:p>
    <w:tbl>
      <w:tblPr>
        <w:tblStyle w:val="Table"/>
        <w:tblW w:type="pct" w:w="5000"/>
        <w:jc w:val="left"/>
        <w:tblLayout w:type="fixed"/>
        <w:tblLook w:firstRow="1" w:lastRow="0" w:firstColumn="0" w:lastColumn="0" w:noHBand="0" w:noVBand="0" w:val="0020"/>
      </w:tblPr>
      <w:tblGrid>
        <w:gridCol w:w="2200"/>
        <w:gridCol w:w="2420"/>
        <w:gridCol w:w="1100"/>
        <w:gridCol w:w="2200"/>
      </w:tblGrid>
      <w:tr>
        <w:trPr>
          <w:tblHeader w:val="on"/>
        </w:trPr>
        <w:tc>
          <w:tcPr/>
          <w:p>
            <w:pPr>
              <w:pStyle w:val="Compact"/>
              <w:jc w:val="left"/>
            </w:pPr>
            <w:r>
              <w:t xml:space="preserve">Provider</w:t>
            </w:r>
          </w:p>
        </w:tc>
        <w:tc>
          <w:tcPr/>
          <w:p>
            <w:pPr>
              <w:pStyle w:val="Compact"/>
              <w:jc w:val="left"/>
            </w:pPr>
            <w:r>
              <w:t xml:space="preserve">Countries</w:t>
            </w:r>
          </w:p>
        </w:tc>
        <w:tc>
          <w:tcPr/>
          <w:p>
            <w:pPr>
              <w:pStyle w:val="Compact"/>
              <w:jc w:val="left"/>
            </w:pPr>
            <w:r>
              <w:t xml:space="preserve">API</w:t>
            </w:r>
          </w:p>
        </w:tc>
        <w:tc>
          <w:tcPr/>
          <w:p>
            <w:pPr>
              <w:pStyle w:val="Compact"/>
              <w:jc w:val="left"/>
            </w:pPr>
            <w:r>
              <w:t xml:space="preserve">Features</w:t>
            </w:r>
          </w:p>
        </w:tc>
      </w:tr>
      <w:tr>
        <w:tc>
          <w:tcPr/>
          <w:p>
            <w:pPr>
              <w:pStyle w:val="Compact"/>
              <w:jc w:val="left"/>
            </w:pPr>
            <w:r>
              <w:rPr>
                <w:b/>
                <w:bCs/>
              </w:rPr>
              <w:t xml:space="preserve">Vodacom M-Pesa</w:t>
            </w:r>
          </w:p>
        </w:tc>
        <w:tc>
          <w:tcPr/>
          <w:p>
            <w:pPr>
              <w:pStyle w:val="Compact"/>
              <w:jc w:val="left"/>
            </w:pPr>
            <w:r>
              <w:t xml:space="preserve">Tanzania, DRC, Mozambique</w:t>
            </w:r>
          </w:p>
        </w:tc>
        <w:tc>
          <w:tcPr/>
          <w:p>
            <w:pPr>
              <w:pStyle w:val="Compact"/>
              <w:jc w:val="left"/>
            </w:pPr>
            <w:r>
              <w:t xml:space="preserve">REST API</w:t>
            </w:r>
          </w:p>
        </w:tc>
        <w:tc>
          <w:tcPr/>
          <w:p>
            <w:pPr>
              <w:pStyle w:val="Compact"/>
              <w:jc w:val="left"/>
            </w:pPr>
            <w:r>
              <w:t xml:space="preserve">STK Push, B2C, C2B, balance query</w:t>
            </w:r>
          </w:p>
        </w:tc>
      </w:tr>
      <w:tr>
        <w:tc>
          <w:tcPr/>
          <w:p>
            <w:pPr>
              <w:pStyle w:val="Compact"/>
              <w:jc w:val="left"/>
            </w:pPr>
            <w:r>
              <w:rPr>
                <w:b/>
                <w:bCs/>
              </w:rPr>
              <w:t xml:space="preserve">Safaricom M-Pesa</w:t>
            </w:r>
          </w:p>
        </w:tc>
        <w:tc>
          <w:tcPr/>
          <w:p>
            <w:pPr>
              <w:pStyle w:val="Compact"/>
              <w:jc w:val="left"/>
            </w:pPr>
            <w:r>
              <w:t xml:space="preserve">Kenya, Ethiopia</w:t>
            </w:r>
          </w:p>
        </w:tc>
        <w:tc>
          <w:tcPr/>
          <w:p>
            <w:pPr>
              <w:pStyle w:val="Compact"/>
              <w:jc w:val="left"/>
            </w:pPr>
            <w:r>
              <w:t xml:space="preserve">Daraja 3.0</w:t>
            </w:r>
          </w:p>
        </w:tc>
        <w:tc>
          <w:tcPr/>
          <w:p>
            <w:pPr>
              <w:pStyle w:val="Compact"/>
              <w:jc w:val="left"/>
            </w:pPr>
            <w:r>
              <w:t xml:space="preserve">STK Push, B2C, B2B, C2B, Ratiba</w:t>
            </w:r>
          </w:p>
        </w:tc>
      </w:tr>
      <w:tr>
        <w:tc>
          <w:tcPr/>
          <w:p>
            <w:pPr>
              <w:pStyle w:val="Compact"/>
              <w:jc w:val="left"/>
            </w:pPr>
            <w:r>
              <w:rPr>
                <w:b/>
                <w:bCs/>
              </w:rPr>
              <w:t xml:space="preserve">MTN Mobile Money</w:t>
            </w:r>
          </w:p>
        </w:tc>
        <w:tc>
          <w:tcPr/>
          <w:p>
            <w:pPr>
              <w:pStyle w:val="Compact"/>
              <w:jc w:val="left"/>
            </w:pPr>
            <w:r>
              <w:t xml:space="preserve">Uganda, Rwanda, Ghana</w:t>
            </w:r>
          </w:p>
        </w:tc>
        <w:tc>
          <w:tcPr/>
          <w:p>
            <w:pPr>
              <w:pStyle w:val="Compact"/>
              <w:jc w:val="left"/>
            </w:pPr>
            <w:r>
              <w:t xml:space="preserve">MoMo API</w:t>
            </w:r>
          </w:p>
        </w:tc>
        <w:tc>
          <w:tcPr/>
          <w:p>
            <w:pPr>
              <w:pStyle w:val="Compact"/>
              <w:jc w:val="left"/>
            </w:pPr>
            <w:r>
              <w:t xml:space="preserve">Collection, disbursement, remittance</w:t>
            </w:r>
          </w:p>
        </w:tc>
      </w:tr>
      <w:tr>
        <w:tc>
          <w:tcPr/>
          <w:p>
            <w:pPr>
              <w:pStyle w:val="Compact"/>
              <w:jc w:val="left"/>
            </w:pPr>
            <w:r>
              <w:rPr>
                <w:b/>
                <w:bCs/>
              </w:rPr>
              <w:t xml:space="preserve">Airtel Money</w:t>
            </w:r>
          </w:p>
        </w:tc>
        <w:tc>
          <w:tcPr/>
          <w:p>
            <w:pPr>
              <w:pStyle w:val="Compact"/>
              <w:jc w:val="left"/>
            </w:pPr>
            <w:r>
              <w:t xml:space="preserve">Kenya, Uganda, Tanzania</w:t>
            </w:r>
          </w:p>
        </w:tc>
        <w:tc>
          <w:tcPr/>
          <w:p>
            <w:pPr>
              <w:pStyle w:val="Compact"/>
              <w:jc w:val="left"/>
            </w:pPr>
            <w:r>
              <w:t xml:space="preserve">Airtel Money API</w:t>
            </w:r>
          </w:p>
        </w:tc>
        <w:tc>
          <w:tcPr/>
          <w:p>
            <w:pPr>
              <w:pStyle w:val="Compact"/>
              <w:jc w:val="left"/>
            </w:pPr>
            <w:r>
              <w:t xml:space="preserve">Payments, transfers</w:t>
            </w:r>
          </w:p>
        </w:tc>
      </w:tr>
    </w:tbl>
    <w:p>
      <w:pPr>
        <w:pStyle w:val="a0"/>
      </w:pPr>
      <w:r>
        <w:t xml:space="preserve">All payment integrations implement</w:t>
      </w:r>
      <w:r>
        <w:t xml:space="preserve"> </w:t>
      </w:r>
      <w:r>
        <w:rPr>
          <w:b/>
          <w:bCs/>
        </w:rPr>
        <w:t xml:space="preserve">idempotency keys</w:t>
      </w:r>
      <w:r>
        <w:t xml:space="preserve"> </w:t>
      </w:r>
      <w:r>
        <w:t xml:space="preserve">to prevent double-charging,</w:t>
      </w:r>
      <w:r>
        <w:t xml:space="preserve"> </w:t>
      </w:r>
      <w:r>
        <w:rPr>
          <w:b/>
          <w:bCs/>
        </w:rPr>
        <w:t xml:space="preserve">callback validation</w:t>
      </w:r>
      <w:r>
        <w:t xml:space="preserve"> </w:t>
      </w:r>
      <w:r>
        <w:t xml:space="preserve">to ensure transaction integrity, and</w:t>
      </w:r>
      <w:r>
        <w:t xml:space="preserve"> </w:t>
      </w:r>
      <w:r>
        <w:rPr>
          <w:b/>
          <w:bCs/>
        </w:rPr>
        <w:t xml:space="preserve">comprehensive logging</w:t>
      </w:r>
      <w:r>
        <w:t xml:space="preserve"> </w:t>
      </w:r>
      <w:r>
        <w:t xml:space="preserve">for audit and reconciliation purposes.</w:t>
      </w:r>
    </w:p>
    <w:bookmarkEnd w:id="59"/>
    <w:bookmarkStart w:id="60" w:name="security-architecture"/>
    <w:p>
      <w:pPr>
        <w:pStyle w:val="3"/>
      </w:pPr>
      <w:r>
        <w:t xml:space="preserve">6.4 Security Architecture</w:t>
      </w:r>
    </w:p>
    <w:tbl>
      <w:tblPr>
        <w:tblStyle w:val="Table"/>
        <w:tblW w:type="pct" w:w="5000"/>
        <w:jc w:val="left"/>
        <w:tblLayout w:type="fixed"/>
        <w:tblLook w:firstRow="1" w:lastRow="0" w:firstColumn="0" w:lastColumn="0" w:noHBand="0" w:noVBand="0" w:val="0020"/>
      </w:tblPr>
      <w:tblGrid>
        <w:gridCol w:w="2520"/>
        <w:gridCol w:w="5400"/>
      </w:tblGrid>
      <w:tr>
        <w:trPr>
          <w:tblHeader w:val="on"/>
        </w:trPr>
        <w:tc>
          <w:tcPr/>
          <w:p>
            <w:pPr>
              <w:pStyle w:val="Compact"/>
              <w:jc w:val="left"/>
            </w:pPr>
            <w:r>
              <w:t xml:space="preserve">Layer</w:t>
            </w:r>
          </w:p>
        </w:tc>
        <w:tc>
          <w:tcPr/>
          <w:p>
            <w:pPr>
              <w:pStyle w:val="Compact"/>
              <w:jc w:val="left"/>
            </w:pPr>
            <w:r>
              <w:t xml:space="preserve">Implementation</w:t>
            </w:r>
          </w:p>
        </w:tc>
      </w:tr>
      <w:tr>
        <w:tc>
          <w:tcPr/>
          <w:p>
            <w:pPr>
              <w:pStyle w:val="Compact"/>
              <w:jc w:val="left"/>
            </w:pPr>
            <w:r>
              <w:rPr>
                <w:b/>
                <w:bCs/>
              </w:rPr>
              <w:t xml:space="preserve">Transport</w:t>
            </w:r>
          </w:p>
        </w:tc>
        <w:tc>
          <w:tcPr/>
          <w:p>
            <w:pPr>
              <w:pStyle w:val="Compact"/>
              <w:jc w:val="left"/>
            </w:pPr>
            <w:r>
              <w:t xml:space="preserve">TLS 1.3 for all API communications</w:t>
            </w:r>
          </w:p>
        </w:tc>
      </w:tr>
      <w:tr>
        <w:tc>
          <w:tcPr/>
          <w:p>
            <w:pPr>
              <w:pStyle w:val="Compact"/>
              <w:jc w:val="left"/>
            </w:pPr>
            <w:r>
              <w:rPr>
                <w:b/>
                <w:bCs/>
              </w:rPr>
              <w:t xml:space="preserve">Authentication</w:t>
            </w:r>
          </w:p>
        </w:tc>
        <w:tc>
          <w:tcPr/>
          <w:p>
            <w:pPr>
              <w:pStyle w:val="Compact"/>
              <w:jc w:val="left"/>
            </w:pPr>
            <w:r>
              <w:t xml:space="preserve">JWT Bearer tokens with 15-minute expiry, refresh token rotation</w:t>
            </w:r>
          </w:p>
        </w:tc>
      </w:tr>
      <w:tr>
        <w:tc>
          <w:tcPr/>
          <w:p>
            <w:pPr>
              <w:pStyle w:val="Compact"/>
              <w:jc w:val="left"/>
            </w:pPr>
            <w:r>
              <w:rPr>
                <w:b/>
                <w:bCs/>
              </w:rPr>
              <w:t xml:space="preserve">Authorization</w:t>
            </w:r>
          </w:p>
        </w:tc>
        <w:tc>
          <w:tcPr/>
          <w:p>
            <w:pPr>
              <w:pStyle w:val="Compact"/>
              <w:jc w:val="left"/>
            </w:pPr>
            <w:r>
              <w:t xml:space="preserve">RBAC (Role-Based Access Control) with resource-level permissions</w:t>
            </w:r>
          </w:p>
        </w:tc>
      </w:tr>
      <w:tr>
        <w:tc>
          <w:tcPr/>
          <w:p>
            <w:pPr>
              <w:pStyle w:val="Compact"/>
              <w:jc w:val="left"/>
            </w:pPr>
            <w:r>
              <w:rPr>
                <w:b/>
                <w:bCs/>
              </w:rPr>
              <w:t xml:space="preserve">Data Encryption</w:t>
            </w:r>
          </w:p>
        </w:tc>
        <w:tc>
          <w:tcPr/>
          <w:p>
            <w:pPr>
              <w:pStyle w:val="Compact"/>
              <w:jc w:val="left"/>
            </w:pPr>
            <w:r>
              <w:t xml:space="preserve">AES-256 for data at rest, field-level encryption for PII</w:t>
            </w:r>
          </w:p>
        </w:tc>
      </w:tr>
      <w:tr>
        <w:tc>
          <w:tcPr/>
          <w:p>
            <w:pPr>
              <w:pStyle w:val="Compact"/>
              <w:jc w:val="left"/>
            </w:pPr>
            <w:r>
              <w:rPr>
                <w:b/>
                <w:bCs/>
              </w:rPr>
              <w:t xml:space="preserve">API Security</w:t>
            </w:r>
          </w:p>
        </w:tc>
        <w:tc>
          <w:tcPr/>
          <w:p>
            <w:pPr>
              <w:pStyle w:val="Compact"/>
              <w:jc w:val="left"/>
            </w:pPr>
            <w:r>
              <w:t xml:space="preserve">Rate limiting (100 req/min per user), request signing, CORS policies</w:t>
            </w:r>
          </w:p>
        </w:tc>
      </w:tr>
      <w:tr>
        <w:tc>
          <w:tcPr/>
          <w:p>
            <w:pPr>
              <w:pStyle w:val="Compact"/>
              <w:jc w:val="left"/>
            </w:pPr>
            <w:r>
              <w:rPr>
                <w:b/>
                <w:bCs/>
              </w:rPr>
              <w:t xml:space="preserve">Fraud Detection</w:t>
            </w:r>
          </w:p>
        </w:tc>
        <w:tc>
          <w:tcPr/>
          <w:p>
            <w:pPr>
              <w:pStyle w:val="Compact"/>
              <w:jc w:val="left"/>
            </w:pPr>
            <w:r>
              <w:t xml:space="preserve">Velocity checks, device fingerprinting, anomaly detection on transaction patterns</w:t>
            </w:r>
          </w:p>
        </w:tc>
      </w:tr>
      <w:tr>
        <w:tc>
          <w:tcPr/>
          <w:p>
            <w:pPr>
              <w:pStyle w:val="Compact"/>
              <w:jc w:val="left"/>
            </w:pPr>
            <w:r>
              <w:rPr>
                <w:b/>
                <w:bCs/>
              </w:rPr>
              <w:t xml:space="preserve">Audit Logging</w:t>
            </w:r>
          </w:p>
        </w:tc>
        <w:tc>
          <w:tcPr/>
          <w:p>
            <w:pPr>
              <w:pStyle w:val="Compact"/>
              <w:jc w:val="left"/>
            </w:pPr>
            <w:r>
              <w:t xml:space="preserve">Immutable append-only logs for all score changes, payment events, and access attempts</w:t>
            </w:r>
          </w:p>
        </w:tc>
      </w:tr>
    </w:tbl>
    <w:p>
      <w:r>
        <w:pict>
          <v:rect style="width:0;height:1.5pt" o:hralign="center" o:hrstd="t" o:hr="t"/>
        </w:pict>
      </w:r>
    </w:p>
    <w:bookmarkEnd w:id="60"/>
    <w:bookmarkEnd w:id="61"/>
    <w:bookmarkStart w:id="65" w:name="go-to-market-growth-strategy"/>
    <w:p>
      <w:pPr>
        <w:pStyle w:val="2"/>
      </w:pPr>
      <w:r>
        <w:t xml:space="preserve">7. GO-TO-MARKET &amp; GROWTH STRATEGY</w:t>
      </w:r>
    </w:p>
    <w:bookmarkStart w:id="62" w:name="chama-first-acquisition"/>
    <w:p>
      <w:pPr>
        <w:pStyle w:val="3"/>
      </w:pPr>
      <w:r>
        <w:t xml:space="preserve">7.1 Chama-First Acquisition</w:t>
      </w:r>
    </w:p>
    <w:p>
      <w:pPr>
        <w:pStyle w:val="FirstParagraph"/>
      </w:pPr>
      <w:r>
        <w:t xml:space="preserve">The go-to-market strategy centers on</w:t>
      </w:r>
      <w:r>
        <w:t xml:space="preserve"> </w:t>
      </w:r>
      <w:r>
        <w:rPr>
          <w:b/>
          <w:bCs/>
        </w:rPr>
        <w:t xml:space="preserve">chama (ROSCA) groups</w:t>
      </w:r>
      <w:r>
        <w:t xml:space="preserve"> </w:t>
      </w:r>
      <w:r>
        <w:t xml:space="preserve">as the primary user acquisition channel. This approach is grounded in three strategic insights:</w:t>
      </w:r>
    </w:p>
    <w:p>
      <w:pPr>
        <w:pStyle w:val="a0"/>
      </w:pPr>
      <w:r>
        <w:rPr>
          <w:b/>
          <w:bCs/>
        </w:rPr>
        <w:t xml:space="preserve">Viral Coefficient:</w:t>
      </w:r>
      <w:r>
        <w:t xml:space="preserve"> </w:t>
      </w:r>
      <w:r>
        <w:t xml:space="preserve">One chama leader onboarding 15-30 members creates a</w:t>
      </w:r>
      <w:r>
        <w:t xml:space="preserve"> </w:t>
      </w:r>
      <w:r>
        <w:rPr>
          <w:b/>
          <w:bCs/>
        </w:rPr>
        <w:t xml:space="preserve">viral coefficient of 15-30x</w:t>
      </w:r>
      <w:r>
        <w:t xml:space="preserve"> </w:t>
      </w:r>
      <w:r>
        <w:t xml:space="preserve">from a single touchpoint. The CAC (customer acquisition cost) through chama channels is approximately</w:t>
      </w:r>
      <w:r>
        <w:t xml:space="preserve"> </w:t>
      </w:r>
      <w:r>
        <w:rPr>
          <w:b/>
          <w:bCs/>
        </w:rPr>
        <w:t xml:space="preserve">$3-5 per user</w:t>
      </w:r>
      <w:r>
        <w:t xml:space="preserve"> </w:t>
      </w:r>
      <w:r>
        <w:t xml:space="preserve">— 10-20x lower than digital marketing channels in East African markets.</w:t>
      </w:r>
    </w:p>
    <w:p>
      <w:pPr>
        <w:pStyle w:val="a0"/>
      </w:pPr>
      <w:r>
        <w:rPr>
          <w:b/>
          <w:bCs/>
        </w:rPr>
        <w:t xml:space="preserve">Trust Transfer:</w:t>
      </w:r>
      <w:r>
        <w:t xml:space="preserve"> </w:t>
      </w:r>
      <w:r>
        <w:t xml:space="preserve">Chama groups operate on pre-existing social trust. When a chama treasurer recommends TWENDE to her group, the recommendation carries the weight of their existing relationship — far more powerful than any advertisement or influencer endorsement.</w:t>
      </w:r>
    </w:p>
    <w:p>
      <w:pPr>
        <w:pStyle w:val="a0"/>
      </w:pPr>
      <w:r>
        <w:rPr>
          <w:b/>
          <w:bCs/>
        </w:rPr>
        <w:t xml:space="preserve">Gender Alignment:</w:t>
      </w:r>
      <w:r>
        <w:t xml:space="preserve"> </w:t>
      </w:r>
      <w:r>
        <w:t xml:space="preserve">Chama groups are</w:t>
      </w:r>
      <w:r>
        <w:t xml:space="preserve"> </w:t>
      </w:r>
      <w:r>
        <w:rPr>
          <w:b/>
          <w:bCs/>
        </w:rPr>
        <w:t xml:space="preserve">70-80% female</w:t>
      </w:r>
      <w:r>
        <w:t xml:space="preserve">, directly targeting the demographic most underserved by formal financial services and most responsive to savings-oriented financial products.</w:t>
      </w:r>
    </w:p>
    <w:p>
      <w:pPr>
        <w:pStyle w:val="a0"/>
      </w:pPr>
      <w:r>
        <w:rPr>
          <w:b/>
          <w:bCs/>
        </w:rPr>
        <w:t xml:space="preserve">Acquisition Funnel:</w:t>
      </w:r>
    </w:p>
    <w:p>
      <w:pPr>
        <w:pStyle w:val="SourceCode"/>
      </w:pPr>
      <w:r>
        <w:rPr>
          <w:rStyle w:val="VerbatimChar"/>
        </w:rPr>
        <w:t xml:space="preserve">Chama Leader Onboarding (CAC: $3-5)</w:t>
      </w:r>
      <w:r>
        <w:br/>
      </w:r>
      <w:r>
        <w:rPr>
          <w:rStyle w:val="VerbatimChar"/>
        </w:rPr>
        <w:t xml:space="preserve">    ↓</w:t>
      </w:r>
      <w:r>
        <w:br/>
      </w:r>
      <w:r>
        <w:rPr>
          <w:rStyle w:val="VerbatimChar"/>
        </w:rPr>
        <w:t xml:space="preserve">Group Members Join (Free, viral)</w:t>
      </w:r>
      <w:r>
        <w:br/>
      </w:r>
      <w:r>
        <w:rPr>
          <w:rStyle w:val="VerbatimChar"/>
        </w:rPr>
        <w:t xml:space="preserve">    ↓</w:t>
      </w:r>
      <w:r>
        <w:br/>
      </w:r>
      <w:r>
        <w:rPr>
          <w:rStyle w:val="VerbatimChar"/>
        </w:rPr>
        <w:t xml:space="preserve">Cross-Sell to Other Pillars:</w:t>
      </w:r>
      <w:r>
        <w:br/>
      </w:r>
      <w:r>
        <w:rPr>
          <w:rStyle w:val="VerbatimChar"/>
        </w:rPr>
        <w:t xml:space="preserve">    • Biashara loans (20% conversion)</w:t>
      </w:r>
      <w:r>
        <w:br/>
      </w:r>
      <w:r>
        <w:rPr>
          <w:rStyle w:val="VerbatimChar"/>
        </w:rPr>
        <w:t xml:space="preserve">    • Soko commerce (25% conversion)</w:t>
      </w:r>
      <w:r>
        <w:br/>
      </w:r>
      <w:r>
        <w:rPr>
          <w:rStyle w:val="VerbatimChar"/>
        </w:rPr>
        <w:t xml:space="preserve">    • Kazi gig work (15% conversion)</w:t>
      </w:r>
      <w:r>
        <w:br/>
      </w:r>
      <w:r>
        <w:rPr>
          <w:rStyle w:val="VerbatimChar"/>
        </w:rPr>
        <w:t xml:space="preserve">    • Linda insurance (10% conversion)</w:t>
      </w:r>
    </w:p>
    <w:bookmarkEnd w:id="62"/>
    <w:bookmarkStart w:id="63" w:name="geographic-rollout"/>
    <w:p>
      <w:pPr>
        <w:pStyle w:val="3"/>
      </w:pPr>
      <w:r>
        <w:t xml:space="preserve">7.2 Geographic Rollout</w:t>
      </w:r>
    </w:p>
    <w:tbl>
      <w:tblPr>
        <w:tblStyle w:val="Table"/>
        <w:tblW w:type="pct" w:w="5000"/>
        <w:jc w:val="left"/>
        <w:tblLayout w:type="fixed"/>
        <w:tblLook w:firstRow="1" w:lastRow="0" w:firstColumn="0" w:lastColumn="0" w:noHBand="0" w:noVBand="0" w:val="0020"/>
      </w:tblPr>
      <w:tblGrid>
        <w:gridCol w:w="1680"/>
        <w:gridCol w:w="2400"/>
        <w:gridCol w:w="2160"/>
        <w:gridCol w:w="1680"/>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Markets</w:t>
            </w:r>
          </w:p>
        </w:tc>
        <w:tc>
          <w:tcPr/>
          <w:p>
            <w:pPr>
              <w:pStyle w:val="Compact"/>
              <w:jc w:val="left"/>
            </w:pPr>
            <w:r>
              <w:t xml:space="preserve">Focus</w:t>
            </w:r>
          </w:p>
        </w:tc>
      </w:tr>
      <w:tr>
        <w:tc>
          <w:tcPr/>
          <w:p>
            <w:pPr>
              <w:pStyle w:val="Compact"/>
              <w:jc w:val="left"/>
            </w:pPr>
            <w:r>
              <w:rPr>
                <w:b/>
                <w:bCs/>
              </w:rPr>
              <w:t xml:space="preserve">Pilot</w:t>
            </w:r>
          </w:p>
        </w:tc>
        <w:tc>
          <w:tcPr/>
          <w:p>
            <w:pPr>
              <w:pStyle w:val="Compact"/>
              <w:jc w:val="left"/>
            </w:pPr>
            <w:r>
              <w:t xml:space="preserve">Months 1-6</w:t>
            </w:r>
          </w:p>
        </w:tc>
        <w:tc>
          <w:tcPr/>
          <w:p>
            <w:pPr>
              <w:pStyle w:val="Compact"/>
              <w:jc w:val="left"/>
            </w:pPr>
            <w:r>
              <w:t xml:space="preserve">Tanzania (Dar es Salaam, Arusha)</w:t>
            </w:r>
          </w:p>
        </w:tc>
        <w:tc>
          <w:tcPr/>
          <w:p>
            <w:pPr>
              <w:pStyle w:val="Compact"/>
              <w:jc w:val="left"/>
            </w:pPr>
            <w:r>
              <w:t xml:space="preserve">Chama onboarding, Trust Engine validation, regulatory compliance</w:t>
            </w:r>
          </w:p>
        </w:tc>
      </w:tr>
      <w:tr>
        <w:tc>
          <w:tcPr/>
          <w:p>
            <w:pPr>
              <w:pStyle w:val="Compact"/>
              <w:jc w:val="left"/>
            </w:pPr>
            <w:r>
              <w:rPr>
                <w:b/>
                <w:bCs/>
              </w:rPr>
              <w:t xml:space="preserve">Scale</w:t>
            </w:r>
          </w:p>
        </w:tc>
        <w:tc>
          <w:tcPr/>
          <w:p>
            <w:pPr>
              <w:pStyle w:val="Compact"/>
              <w:jc w:val="left"/>
            </w:pPr>
            <w:r>
              <w:t xml:space="preserve">Months 7-12</w:t>
            </w:r>
          </w:p>
        </w:tc>
        <w:tc>
          <w:tcPr/>
          <w:p>
            <w:pPr>
              <w:pStyle w:val="Compact"/>
              <w:jc w:val="left"/>
            </w:pPr>
            <w:r>
              <w:t xml:space="preserve">Tanzania (nationwide) + Kenya (Nairobi)</w:t>
            </w:r>
          </w:p>
        </w:tc>
        <w:tc>
          <w:tcPr/>
          <w:p>
            <w:pPr>
              <w:pStyle w:val="Compact"/>
              <w:jc w:val="left"/>
            </w:pPr>
            <w:r>
              <w:t xml:space="preserve">Multi-city expansion, M-Pesa integration, partnership with MFIs</w:t>
            </w:r>
          </w:p>
        </w:tc>
      </w:tr>
      <w:tr>
        <w:tc>
          <w:tcPr/>
          <w:p>
            <w:pPr>
              <w:pStyle w:val="Compact"/>
              <w:jc w:val="left"/>
            </w:pPr>
            <w:r>
              <w:rPr>
                <w:b/>
                <w:bCs/>
              </w:rPr>
              <w:t xml:space="preserve">Regional</w:t>
            </w:r>
          </w:p>
        </w:tc>
        <w:tc>
          <w:tcPr/>
          <w:p>
            <w:pPr>
              <w:pStyle w:val="Compact"/>
              <w:jc w:val="left"/>
            </w:pPr>
            <w:r>
              <w:t xml:space="preserve">Year 2</w:t>
            </w:r>
          </w:p>
        </w:tc>
        <w:tc>
          <w:tcPr/>
          <w:p>
            <w:pPr>
              <w:pStyle w:val="Compact"/>
              <w:jc w:val="left"/>
            </w:pPr>
            <w:r>
              <w:t xml:space="preserve">Kenya (nationwide) + Uganda (Kampala)</w:t>
            </w:r>
          </w:p>
        </w:tc>
        <w:tc>
          <w:tcPr/>
          <w:p>
            <w:pPr>
              <w:pStyle w:val="Compact"/>
              <w:jc w:val="left"/>
            </w:pPr>
            <w:r>
              <w:t xml:space="preserve">Full product suite, regional event bus, cross-border considerations</w:t>
            </w:r>
          </w:p>
        </w:tc>
      </w:tr>
      <w:tr>
        <w:tc>
          <w:tcPr/>
          <w:p>
            <w:pPr>
              <w:pStyle w:val="Compact"/>
              <w:jc w:val="left"/>
            </w:pPr>
            <w:r>
              <w:rPr>
                <w:b/>
                <w:bCs/>
              </w:rPr>
              <w:t xml:space="preserve">Continental</w:t>
            </w:r>
          </w:p>
        </w:tc>
        <w:tc>
          <w:tcPr/>
          <w:p>
            <w:pPr>
              <w:pStyle w:val="Compact"/>
              <w:jc w:val="left"/>
            </w:pPr>
            <w:r>
              <w:t xml:space="preserve">Year 3</w:t>
            </w:r>
          </w:p>
        </w:tc>
        <w:tc>
          <w:tcPr/>
          <w:p>
            <w:pPr>
              <w:pStyle w:val="Compact"/>
              <w:jc w:val="left"/>
            </w:pPr>
            <w:r>
              <w:t xml:space="preserve">Rwanda + Ethiopia + Ghana</w:t>
            </w:r>
          </w:p>
        </w:tc>
        <w:tc>
          <w:tcPr/>
          <w:p>
            <w:pPr>
              <w:pStyle w:val="Compact"/>
              <w:jc w:val="left"/>
            </w:pPr>
            <w:r>
              <w:t xml:space="preserve">White-label partnerships, API monetization, regulatory harmonization</w:t>
            </w:r>
          </w:p>
        </w:tc>
      </w:tr>
    </w:tbl>
    <w:bookmarkEnd w:id="63"/>
    <w:bookmarkStart w:id="64" w:name="partnership-strategy"/>
    <w:p>
      <w:pPr>
        <w:pStyle w:val="3"/>
      </w:pPr>
      <w:r>
        <w:t xml:space="preserve">7.3 Partnership Strategy</w:t>
      </w:r>
    </w:p>
    <w:p>
      <w:pPr>
        <w:pStyle w:val="FirstParagraph"/>
      </w:pPr>
      <w:r>
        <w:rPr>
          <w:b/>
          <w:bCs/>
        </w:rPr>
        <w:t xml:space="preserve">Mobile Network Operators:</w:t>
      </w:r>
      <w:r>
        <w:t xml:space="preserve"> </w:t>
      </w:r>
      <w:r>
        <w:t xml:space="preserve">Strategic partnerships with Vodacom (Tanzania), Safaricom (Kenya), MTN (Uganda/Rwanda) for M-Pesa API access, co-marketing, and data sharing agreements.</w:t>
      </w:r>
    </w:p>
    <w:p>
      <w:pPr>
        <w:pStyle w:val="a0"/>
      </w:pPr>
      <w:r>
        <w:rPr>
          <w:b/>
          <w:bCs/>
        </w:rPr>
        <w:t xml:space="preserve">Microfinance Institutions:</w:t>
      </w:r>
      <w:r>
        <w:t xml:space="preserve"> </w:t>
      </w:r>
      <w:r>
        <w:t xml:space="preserve">White-label Trust Engine licensing to SACCOs, microfinance banks, and cooperative societies, enabling them to serve informal economy customers with TWENDE-powered credit scoring.</w:t>
      </w:r>
    </w:p>
    <w:p>
      <w:pPr>
        <w:pStyle w:val="a0"/>
      </w:pPr>
      <w:r>
        <w:rPr>
          <w:b/>
          <w:bCs/>
        </w:rPr>
        <w:t xml:space="preserve">Insurance Underwriters:</w:t>
      </w:r>
      <w:r>
        <w:t xml:space="preserve"> </w:t>
      </w:r>
      <w:r>
        <w:t xml:space="preserve">Partnerships with APA Insurance, Jubilee Insurance, and regional underwriters for Linda product underwriting and claims processing.</w:t>
      </w:r>
    </w:p>
    <w:p>
      <w:pPr>
        <w:pStyle w:val="a0"/>
      </w:pPr>
      <w:r>
        <w:rPr>
          <w:b/>
          <w:bCs/>
        </w:rPr>
        <w:t xml:space="preserve">Development Organizations:</w:t>
      </w:r>
      <w:r>
        <w:t xml:space="preserve"> </w:t>
      </w:r>
      <w:r>
        <w:t xml:space="preserve">Collaboration with CGAP, FSD Africa, and Mastercard Foundation for financial inclusion program integration and impact measurement.</w:t>
      </w:r>
    </w:p>
    <w:p>
      <w:r>
        <w:pict>
          <v:rect style="width:0;height:1.5pt" o:hralign="center" o:hrstd="t" o:hr="t"/>
        </w:pict>
      </w:r>
    </w:p>
    <w:bookmarkEnd w:id="64"/>
    <w:bookmarkEnd w:id="65"/>
    <w:bookmarkStart w:id="69" w:name="financial-model-projections"/>
    <w:p>
      <w:pPr>
        <w:pStyle w:val="2"/>
      </w:pPr>
      <w:r>
        <w:t xml:space="preserve">8. FINANCIAL MODEL &amp; PROJECTIONS</w:t>
      </w:r>
    </w:p>
    <w:bookmarkStart w:id="66" w:name="revenue-model"/>
    <w:p>
      <w:pPr>
        <w:pStyle w:val="3"/>
      </w:pPr>
      <w:r>
        <w:t xml:space="preserve">8.1 Revenue Model</w:t>
      </w:r>
    </w:p>
    <w:p>
      <w:pPr>
        <w:pStyle w:val="FirstParagraph"/>
      </w:pPr>
      <w:r>
        <w:t xml:space="preserve">TWENDE generates revenue through five streams, with interest income from micro-loans as the primary driver:</w:t>
      </w:r>
    </w:p>
    <w:tbl>
      <w:tblPr>
        <w:tblStyle w:val="Table"/>
        <w:tblW w:type="pct" w:w="5000"/>
        <w:jc w:val="left"/>
        <w:tblLayout w:type="fixed"/>
        <w:tblLook w:firstRow="1" w:lastRow="0" w:firstColumn="0" w:lastColumn="0" w:noHBand="0" w:noVBand="0" w:val="0020"/>
      </w:tblPr>
      <w:tblGrid>
        <w:gridCol w:w="2121"/>
        <w:gridCol w:w="1131"/>
        <w:gridCol w:w="1131"/>
        <w:gridCol w:w="1131"/>
        <w:gridCol w:w="2404"/>
      </w:tblGrid>
      <w:tr>
        <w:trPr>
          <w:tblHeader w:val="on"/>
        </w:trPr>
        <w:tc>
          <w:tcPr/>
          <w:p>
            <w:pPr>
              <w:pStyle w:val="Compact"/>
              <w:jc w:val="left"/>
            </w:pPr>
            <w:r>
              <w:t xml:space="preserve">Revenue Stream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 of Total (Y3)</w:t>
            </w:r>
          </w:p>
        </w:tc>
      </w:tr>
      <w:tr>
        <w:tc>
          <w:tcPr/>
          <w:p>
            <w:pPr>
              <w:pStyle w:val="Compact"/>
              <w:jc w:val="left"/>
            </w:pPr>
            <w:r>
              <w:rPr>
                <w:b/>
                <w:bCs/>
              </w:rPr>
              <w:t xml:space="preserve">Interest Income (Biashara)</w:t>
            </w:r>
          </w:p>
        </w:tc>
        <w:tc>
          <w:tcPr/>
          <w:p>
            <w:pPr>
              <w:pStyle w:val="Compact"/>
              <w:jc w:val="left"/>
            </w:pPr>
            <w:r>
              <w:t xml:space="preserve">$108,000</w:t>
            </w:r>
          </w:p>
        </w:tc>
        <w:tc>
          <w:tcPr/>
          <w:p>
            <w:pPr>
              <w:pStyle w:val="Compact"/>
              <w:jc w:val="left"/>
            </w:pPr>
            <w:r>
              <w:t xml:space="preserve">$720,000</w:t>
            </w:r>
          </w:p>
        </w:tc>
        <w:tc>
          <w:tcPr/>
          <w:p>
            <w:pPr>
              <w:pStyle w:val="Compact"/>
              <w:jc w:val="left"/>
            </w:pPr>
            <w:r>
              <w:t xml:space="preserve">$3,900,000</w:t>
            </w:r>
          </w:p>
        </w:tc>
        <w:tc>
          <w:tcPr/>
          <w:p>
            <w:pPr>
              <w:pStyle w:val="Compact"/>
              <w:jc w:val="left"/>
            </w:pPr>
            <w:r>
              <w:rPr>
                <w:b/>
                <w:bCs/>
              </w:rPr>
              <w:t xml:space="preserve">60%</w:t>
            </w:r>
          </w:p>
        </w:tc>
      </w:tr>
      <w:tr>
        <w:tc>
          <w:tcPr/>
          <w:p>
            <w:pPr>
              <w:pStyle w:val="Compact"/>
              <w:jc w:val="left"/>
            </w:pPr>
            <w:r>
              <w:rPr>
                <w:b/>
                <w:bCs/>
              </w:rPr>
              <w:t xml:space="preserve">Transaction Fees (Chama + Soko)</w:t>
            </w:r>
          </w:p>
        </w:tc>
        <w:tc>
          <w:tcPr/>
          <w:p>
            <w:pPr>
              <w:pStyle w:val="Compact"/>
              <w:jc w:val="left"/>
            </w:pPr>
            <w:r>
              <w:t xml:space="preserve">$36,000</w:t>
            </w:r>
          </w:p>
        </w:tc>
        <w:tc>
          <w:tcPr/>
          <w:p>
            <w:pPr>
              <w:pStyle w:val="Compact"/>
              <w:jc w:val="left"/>
            </w:pPr>
            <w:r>
              <w:t xml:space="preserve">$240,000</w:t>
            </w:r>
          </w:p>
        </w:tc>
        <w:tc>
          <w:tcPr/>
          <w:p>
            <w:pPr>
              <w:pStyle w:val="Compact"/>
              <w:jc w:val="left"/>
            </w:pPr>
            <w:r>
              <w:t xml:space="preserve">$1,300,000</w:t>
            </w:r>
          </w:p>
        </w:tc>
        <w:tc>
          <w:tcPr/>
          <w:p>
            <w:pPr>
              <w:pStyle w:val="Compact"/>
              <w:jc w:val="left"/>
            </w:pPr>
            <w:r>
              <w:rPr>
                <w:b/>
                <w:bCs/>
              </w:rPr>
              <w:t xml:space="preserve">20%</w:t>
            </w:r>
          </w:p>
        </w:tc>
      </w:tr>
      <w:tr>
        <w:tc>
          <w:tcPr/>
          <w:p>
            <w:pPr>
              <w:pStyle w:val="Compact"/>
              <w:jc w:val="left"/>
            </w:pPr>
            <w:r>
              <w:rPr>
                <w:b/>
                <w:bCs/>
              </w:rPr>
              <w:t xml:space="preserve">Platform Fees (Kazi)</w:t>
            </w:r>
          </w:p>
        </w:tc>
        <w:tc>
          <w:tcPr/>
          <w:p>
            <w:pPr>
              <w:pStyle w:val="Compact"/>
              <w:jc w:val="left"/>
            </w:pPr>
            <w:r>
              <w:t xml:space="preserve">$18,000</w:t>
            </w:r>
          </w:p>
        </w:tc>
        <w:tc>
          <w:tcPr/>
          <w:p>
            <w:pPr>
              <w:pStyle w:val="Compact"/>
              <w:jc w:val="left"/>
            </w:pPr>
            <w:r>
              <w:t xml:space="preserve">$120,000</w:t>
            </w:r>
          </w:p>
        </w:tc>
        <w:tc>
          <w:tcPr/>
          <w:p>
            <w:pPr>
              <w:pStyle w:val="Compact"/>
              <w:jc w:val="left"/>
            </w:pPr>
            <w:r>
              <w:t xml:space="preserve">$650,000</w:t>
            </w:r>
          </w:p>
        </w:tc>
        <w:tc>
          <w:tcPr/>
          <w:p>
            <w:pPr>
              <w:pStyle w:val="Compact"/>
              <w:jc w:val="left"/>
            </w:pPr>
            <w:r>
              <w:rPr>
                <w:b/>
                <w:bCs/>
              </w:rPr>
              <w:t xml:space="preserve">10%</w:t>
            </w:r>
          </w:p>
        </w:tc>
      </w:tr>
      <w:tr>
        <w:tc>
          <w:tcPr/>
          <w:p>
            <w:pPr>
              <w:pStyle w:val="Compact"/>
              <w:jc w:val="left"/>
            </w:pPr>
            <w:r>
              <w:rPr>
                <w:b/>
                <w:bCs/>
              </w:rPr>
              <w:t xml:space="preserve">Insurance Commissions (Linda)</w:t>
            </w:r>
          </w:p>
        </w:tc>
        <w:tc>
          <w:tcPr/>
          <w:p>
            <w:pPr>
              <w:pStyle w:val="Compact"/>
              <w:jc w:val="left"/>
            </w:pPr>
            <w:r>
              <w:t xml:space="preserve">$12,600</w:t>
            </w:r>
          </w:p>
        </w:tc>
        <w:tc>
          <w:tcPr/>
          <w:p>
            <w:pPr>
              <w:pStyle w:val="Compact"/>
              <w:jc w:val="left"/>
            </w:pPr>
            <w:r>
              <w:t xml:space="preserve">$84,000</w:t>
            </w:r>
          </w:p>
        </w:tc>
        <w:tc>
          <w:tcPr/>
          <w:p>
            <w:pPr>
              <w:pStyle w:val="Compact"/>
              <w:jc w:val="left"/>
            </w:pPr>
            <w:r>
              <w:t xml:space="preserve">$455,000</w:t>
            </w:r>
          </w:p>
        </w:tc>
        <w:tc>
          <w:tcPr/>
          <w:p>
            <w:pPr>
              <w:pStyle w:val="Compact"/>
              <w:jc w:val="left"/>
            </w:pPr>
            <w:r>
              <w:rPr>
                <w:b/>
                <w:bCs/>
              </w:rPr>
              <w:t xml:space="preserve">7%</w:t>
            </w:r>
          </w:p>
        </w:tc>
      </w:tr>
      <w:tr>
        <w:tc>
          <w:tcPr/>
          <w:p>
            <w:pPr>
              <w:pStyle w:val="Compact"/>
              <w:jc w:val="left"/>
            </w:pPr>
            <w:r>
              <w:rPr>
                <w:b/>
                <w:bCs/>
              </w:rPr>
              <w:t xml:space="preserve">Data/API Licensing</w:t>
            </w:r>
          </w:p>
        </w:tc>
        <w:tc>
          <w:tcPr/>
          <w:p>
            <w:pPr>
              <w:pStyle w:val="Compact"/>
              <w:jc w:val="left"/>
            </w:pPr>
            <w:r>
              <w:t xml:space="preserve">$5,400</w:t>
            </w:r>
          </w:p>
        </w:tc>
        <w:tc>
          <w:tcPr/>
          <w:p>
            <w:pPr>
              <w:pStyle w:val="Compact"/>
              <w:jc w:val="left"/>
            </w:pPr>
            <w:r>
              <w:t xml:space="preserve">$36,000</w:t>
            </w:r>
          </w:p>
        </w:tc>
        <w:tc>
          <w:tcPr/>
          <w:p>
            <w:pPr>
              <w:pStyle w:val="Compact"/>
              <w:jc w:val="left"/>
            </w:pPr>
            <w:r>
              <w:t xml:space="preserve">$195,000</w:t>
            </w:r>
          </w:p>
        </w:tc>
        <w:tc>
          <w:tcPr/>
          <w:p>
            <w:pPr>
              <w:pStyle w:val="Compact"/>
              <w:jc w:val="left"/>
            </w:pPr>
            <w:r>
              <w:rPr>
                <w:b/>
                <w:bCs/>
              </w:rPr>
              <w:t xml:space="preserve">3%</w:t>
            </w:r>
          </w:p>
        </w:tc>
      </w:tr>
      <w:tr>
        <w:tc>
          <w:tcPr/>
          <w:p>
            <w:pPr>
              <w:pStyle w:val="Compact"/>
              <w:jc w:val="left"/>
            </w:pPr>
            <w:r>
              <w:rPr>
                <w:b/>
                <w:bCs/>
              </w:rPr>
              <w:t xml:space="preserve">Total Revenue</w:t>
            </w:r>
          </w:p>
        </w:tc>
        <w:tc>
          <w:tcPr/>
          <w:p>
            <w:pPr>
              <w:pStyle w:val="Compact"/>
              <w:jc w:val="left"/>
            </w:pPr>
            <w:r>
              <w:rPr>
                <w:b/>
                <w:bCs/>
              </w:rPr>
              <w:t xml:space="preserve">$180,000</w:t>
            </w:r>
          </w:p>
        </w:tc>
        <w:tc>
          <w:tcPr/>
          <w:p>
            <w:pPr>
              <w:pStyle w:val="Compact"/>
              <w:jc w:val="left"/>
            </w:pPr>
            <w:r>
              <w:rPr>
                <w:b/>
                <w:bCs/>
              </w:rPr>
              <w:t xml:space="preserve">$1,200,000</w:t>
            </w:r>
          </w:p>
        </w:tc>
        <w:tc>
          <w:tcPr/>
          <w:p>
            <w:pPr>
              <w:pStyle w:val="Compact"/>
              <w:jc w:val="left"/>
            </w:pPr>
            <w:r>
              <w:rPr>
                <w:b/>
                <w:bCs/>
              </w:rPr>
              <w:t xml:space="preserve">$6,500,000</w:t>
            </w:r>
          </w:p>
        </w:tc>
        <w:tc>
          <w:tcPr/>
          <w:p>
            <w:pPr>
              <w:pStyle w:val="Compact"/>
              <w:jc w:val="left"/>
            </w:pPr>
            <w:r>
              <w:rPr>
                <w:b/>
                <w:bCs/>
              </w:rPr>
              <w:t xml:space="preserve">100%</w:t>
            </w:r>
          </w:p>
        </w:tc>
      </w:tr>
    </w:tbl>
    <w:bookmarkEnd w:id="66"/>
    <w:bookmarkStart w:id="67" w:name="unit-economics"/>
    <w:p>
      <w:pPr>
        <w:pStyle w:val="3"/>
      </w:pPr>
      <w:r>
        <w:t xml:space="preserve">8.2 Unit Economics</w:t>
      </w:r>
    </w:p>
    <w:tbl>
      <w:tblPr>
        <w:tblStyle w:val="Table"/>
        <w:tblW w:type="pct" w:w="5000"/>
        <w:jc w:val="left"/>
        <w:tblLayout w:type="fixed"/>
        <w:tblLook w:firstRow="1" w:lastRow="0" w:firstColumn="0" w:lastColumn="0" w:noHBand="0" w:noVBand="0" w:val="0020"/>
      </w:tblPr>
      <w:tblGrid>
        <w:gridCol w:w="2436"/>
        <w:gridCol w:w="2132"/>
        <w:gridCol w:w="335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Benchmark</w:t>
            </w:r>
          </w:p>
        </w:tc>
      </w:tr>
      <w:tr>
        <w:tc>
          <w:tcPr/>
          <w:p>
            <w:pPr>
              <w:pStyle w:val="Compact"/>
              <w:jc w:val="left"/>
            </w:pPr>
            <w:r>
              <w:rPr>
                <w:b/>
                <w:bCs/>
              </w:rPr>
              <w:t xml:space="preserve">Customer Acquisition Cost (CAC)</w:t>
            </w:r>
          </w:p>
        </w:tc>
        <w:tc>
          <w:tcPr/>
          <w:p>
            <w:pPr>
              <w:pStyle w:val="Compact"/>
              <w:jc w:val="left"/>
            </w:pPr>
            <w:r>
              <w:t xml:space="preserve">$3-5</w:t>
            </w:r>
          </w:p>
        </w:tc>
        <w:tc>
          <w:tcPr/>
          <w:p>
            <w:pPr>
              <w:pStyle w:val="Compact"/>
              <w:jc w:val="left"/>
            </w:pPr>
            <w:r>
              <w:t xml:space="preserve">M-Shwari: ~$2; Branch: ~$8-12</w:t>
            </w:r>
          </w:p>
        </w:tc>
      </w:tr>
      <w:tr>
        <w:tc>
          <w:tcPr/>
          <w:p>
            <w:pPr>
              <w:pStyle w:val="Compact"/>
              <w:jc w:val="left"/>
            </w:pPr>
            <w:r>
              <w:rPr>
                <w:b/>
                <w:bCs/>
              </w:rPr>
              <w:t xml:space="preserve">Lifetime Value (LTV)</w:t>
            </w:r>
          </w:p>
        </w:tc>
        <w:tc>
          <w:tcPr/>
          <w:p>
            <w:pPr>
              <w:pStyle w:val="Compact"/>
              <w:jc w:val="left"/>
            </w:pPr>
            <w:r>
              <w:t xml:space="preserve">$180-250</w:t>
            </w:r>
          </w:p>
        </w:tc>
        <w:tc>
          <w:tcPr/>
          <w:p>
            <w:pPr>
              <w:pStyle w:val="Compact"/>
              <w:jc w:val="left"/>
            </w:pPr>
            <w:r>
              <w:t xml:space="preserve">M-Shwari: ~$150; Tala: ~$200</w:t>
            </w:r>
          </w:p>
        </w:tc>
      </w:tr>
      <w:tr>
        <w:tc>
          <w:tcPr/>
          <w:p>
            <w:pPr>
              <w:pStyle w:val="Compact"/>
              <w:jc w:val="left"/>
            </w:pPr>
            <w:r>
              <w:rPr>
                <w:b/>
                <w:bCs/>
              </w:rPr>
              <w:t xml:space="preserve">LTV/CAC Ratio</w:t>
            </w:r>
          </w:p>
        </w:tc>
        <w:tc>
          <w:tcPr/>
          <w:p>
            <w:pPr>
              <w:pStyle w:val="Compact"/>
              <w:jc w:val="left"/>
            </w:pPr>
            <w:r>
              <w:t xml:space="preserve">40-80x</w:t>
            </w:r>
          </w:p>
        </w:tc>
        <w:tc>
          <w:tcPr/>
          <w:p>
            <w:pPr>
              <w:pStyle w:val="Compact"/>
              <w:jc w:val="left"/>
            </w:pPr>
            <w:r>
              <w:t xml:space="preserve">Industry average: 10-20x</w:t>
            </w:r>
          </w:p>
        </w:tc>
      </w:tr>
      <w:tr>
        <w:tc>
          <w:tcPr/>
          <w:p>
            <w:pPr>
              <w:pStyle w:val="Compact"/>
              <w:jc w:val="left"/>
            </w:pPr>
            <w:r>
              <w:rPr>
                <w:b/>
                <w:bCs/>
              </w:rPr>
              <w:t xml:space="preserve">Gross Margin (Year 3)</w:t>
            </w:r>
          </w:p>
        </w:tc>
        <w:tc>
          <w:tcPr/>
          <w:p>
            <w:pPr>
              <w:pStyle w:val="Compact"/>
              <w:jc w:val="left"/>
            </w:pPr>
            <w:r>
              <w:t xml:space="preserve">60%</w:t>
            </w:r>
          </w:p>
        </w:tc>
        <w:tc>
          <w:tcPr/>
          <w:p>
            <w:pPr>
              <w:pStyle w:val="Compact"/>
              <w:jc w:val="left"/>
            </w:pPr>
            <w:r>
              <w:t xml:space="preserve">Industry average: 45-55%</w:t>
            </w:r>
          </w:p>
        </w:tc>
      </w:tr>
      <w:tr>
        <w:tc>
          <w:tcPr/>
          <w:p>
            <w:pPr>
              <w:pStyle w:val="Compact"/>
              <w:jc w:val="left"/>
            </w:pPr>
            <w:r>
              <w:rPr>
                <w:b/>
                <w:bCs/>
              </w:rPr>
              <w:t xml:space="preserve">Monthly Revenue per User (MRPU)</w:t>
            </w:r>
          </w:p>
        </w:tc>
        <w:tc>
          <w:tcPr/>
          <w:p>
            <w:pPr>
              <w:pStyle w:val="Compact"/>
              <w:jc w:val="left"/>
            </w:pPr>
            <w:r>
              <w:t xml:space="preserve">$5.40</w:t>
            </w:r>
          </w:p>
        </w:tc>
        <w:tc>
          <w:tcPr/>
          <w:p>
            <w:pPr>
              <w:pStyle w:val="Compact"/>
              <w:jc w:val="left"/>
            </w:pPr>
            <w:r>
              <w:t xml:space="preserve">M-Shwari: ~$3; Branch: ~$6</w:t>
            </w:r>
          </w:p>
        </w:tc>
      </w:tr>
    </w:tbl>
    <w:bookmarkEnd w:id="67"/>
    <w:bookmarkStart w:id="68" w:name="use-of-funds-pilot-phase-350000"/>
    <w:p>
      <w:pPr>
        <w:pStyle w:val="3"/>
      </w:pPr>
      <w:r>
        <w:t xml:space="preserve">8.3 Use of Funds (Pilot Phase: $350,000)</w:t>
      </w:r>
    </w:p>
    <w:tbl>
      <w:tblPr>
        <w:tblStyle w:val="Table"/>
        <w:tblW w:type="pct" w:w="5000"/>
        <w:jc w:val="left"/>
        <w:tblLayout w:type="fixed"/>
        <w:tblLook w:firstRow="1" w:lastRow="0" w:firstColumn="0" w:lastColumn="0" w:noHBand="0" w:noVBand="0" w:val="0020"/>
      </w:tblPr>
      <w:tblGrid>
        <w:gridCol w:w="2262"/>
        <w:gridCol w:w="1810"/>
        <w:gridCol w:w="678"/>
        <w:gridCol w:w="3168"/>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w:t>
            </w:r>
          </w:p>
        </w:tc>
        <w:tc>
          <w:tcPr/>
          <w:p>
            <w:pPr>
              <w:pStyle w:val="Compact"/>
              <w:jc w:val="left"/>
            </w:pPr>
            <w:r>
              <w:t xml:space="preserve">Specific Uses</w:t>
            </w:r>
          </w:p>
        </w:tc>
      </w:tr>
      <w:tr>
        <w:tc>
          <w:tcPr/>
          <w:p>
            <w:pPr>
              <w:pStyle w:val="Compact"/>
              <w:jc w:val="left"/>
            </w:pPr>
            <w:r>
              <w:rPr>
                <w:b/>
                <w:bCs/>
              </w:rPr>
              <w:t xml:space="preserve">Product Development</w:t>
            </w:r>
          </w:p>
        </w:tc>
        <w:tc>
          <w:tcPr/>
          <w:p>
            <w:pPr>
              <w:pStyle w:val="Compact"/>
              <w:jc w:val="left"/>
            </w:pPr>
            <w:r>
              <w:t xml:space="preserve">$120,000</w:t>
            </w:r>
          </w:p>
        </w:tc>
        <w:tc>
          <w:tcPr/>
          <w:p>
            <w:pPr>
              <w:pStyle w:val="Compact"/>
              <w:jc w:val="left"/>
            </w:pPr>
            <w:r>
              <w:t xml:space="preserve">34%</w:t>
            </w:r>
          </w:p>
        </w:tc>
        <w:tc>
          <w:tcPr/>
          <w:p>
            <w:pPr>
              <w:pStyle w:val="Compact"/>
              <w:jc w:val="left"/>
            </w:pPr>
            <w:r>
              <w:t xml:space="preserve">PostgreSQL backend, Node.js API, React Native mobile app, Trust Engine production deployment</w:t>
            </w:r>
          </w:p>
        </w:tc>
      </w:tr>
      <w:tr>
        <w:tc>
          <w:tcPr/>
          <w:p>
            <w:pPr>
              <w:pStyle w:val="Compact"/>
              <w:jc w:val="left"/>
            </w:pPr>
            <w:r>
              <w:rPr>
                <w:b/>
                <w:bCs/>
              </w:rPr>
              <w:t xml:space="preserve">Tanzania Pilot Launch</w:t>
            </w:r>
          </w:p>
        </w:tc>
        <w:tc>
          <w:tcPr/>
          <w:p>
            <w:pPr>
              <w:pStyle w:val="Compact"/>
              <w:jc w:val="left"/>
            </w:pPr>
            <w:r>
              <w:t xml:space="preserve">$80,000</w:t>
            </w:r>
          </w:p>
        </w:tc>
        <w:tc>
          <w:tcPr/>
          <w:p>
            <w:pPr>
              <w:pStyle w:val="Compact"/>
              <w:jc w:val="left"/>
            </w:pPr>
            <w:r>
              <w:t xml:space="preserve">23%</w:t>
            </w:r>
          </w:p>
        </w:tc>
        <w:tc>
          <w:tcPr/>
          <w:p>
            <w:pPr>
              <w:pStyle w:val="Compact"/>
              <w:jc w:val="left"/>
            </w:pPr>
            <w:r>
              <w:t xml:space="preserve">Community agent network (20 agents), chama onboarding (200 groups), local marketing, launch events</w:t>
            </w:r>
          </w:p>
        </w:tc>
      </w:tr>
      <w:tr>
        <w:tc>
          <w:tcPr/>
          <w:p>
            <w:pPr>
              <w:pStyle w:val="Compact"/>
              <w:jc w:val="left"/>
            </w:pPr>
            <w:r>
              <w:rPr>
                <w:b/>
                <w:bCs/>
              </w:rPr>
              <w:t xml:space="preserve">Team Expansion</w:t>
            </w:r>
          </w:p>
        </w:tc>
        <w:tc>
          <w:tcPr/>
          <w:p>
            <w:pPr>
              <w:pStyle w:val="Compact"/>
              <w:jc w:val="left"/>
            </w:pPr>
            <w:r>
              <w:t xml:space="preserve">$60,000</w:t>
            </w:r>
          </w:p>
        </w:tc>
        <w:tc>
          <w:tcPr/>
          <w:p>
            <w:pPr>
              <w:pStyle w:val="Compact"/>
              <w:jc w:val="left"/>
            </w:pPr>
            <w:r>
              <w:t xml:space="preserve">17%</w:t>
            </w:r>
          </w:p>
        </w:tc>
        <w:tc>
          <w:tcPr/>
          <w:p>
            <w:pPr>
              <w:pStyle w:val="Compact"/>
              <w:jc w:val="left"/>
            </w:pPr>
            <w:r>
              <w:t xml:space="preserve">Tanzania country manager ($2,500/month), backend engineer ($3,000/month), data scientist ($2,500/month)</w:t>
            </w:r>
          </w:p>
        </w:tc>
      </w:tr>
      <w:tr>
        <w:tc>
          <w:tcPr/>
          <w:p>
            <w:pPr>
              <w:pStyle w:val="Compact"/>
              <w:jc w:val="left"/>
            </w:pPr>
            <w:r>
              <w:rPr>
                <w:b/>
                <w:bCs/>
              </w:rPr>
              <w:t xml:space="preserve">Regulatory Compliance</w:t>
            </w:r>
          </w:p>
        </w:tc>
        <w:tc>
          <w:tcPr/>
          <w:p>
            <w:pPr>
              <w:pStyle w:val="Compact"/>
              <w:jc w:val="left"/>
            </w:pPr>
            <w:r>
              <w:t xml:space="preserve">$50,000</w:t>
            </w:r>
          </w:p>
        </w:tc>
        <w:tc>
          <w:tcPr/>
          <w:p>
            <w:pPr>
              <w:pStyle w:val="Compact"/>
              <w:jc w:val="left"/>
            </w:pPr>
            <w:r>
              <w:t xml:space="preserve">14%</w:t>
            </w:r>
          </w:p>
        </w:tc>
        <w:tc>
          <w:tcPr/>
          <w:p>
            <w:pPr>
              <w:pStyle w:val="Compact"/>
              <w:jc w:val="left"/>
            </w:pPr>
            <w:r>
              <w:t xml:space="preserve">BoT licensing fees, legal counsel, data protection compliance audit, KYC infrastructure</w:t>
            </w:r>
          </w:p>
        </w:tc>
      </w:tr>
      <w:tr>
        <w:tc>
          <w:tcPr/>
          <w:p>
            <w:pPr>
              <w:pStyle w:val="Compact"/>
              <w:jc w:val="left"/>
            </w:pPr>
            <w:r>
              <w:rPr>
                <w:b/>
                <w:bCs/>
              </w:rPr>
              <w:t xml:space="preserve">Operations &amp; Infrastructure</w:t>
            </w:r>
          </w:p>
        </w:tc>
        <w:tc>
          <w:tcPr/>
          <w:p>
            <w:pPr>
              <w:pStyle w:val="Compact"/>
              <w:jc w:val="left"/>
            </w:pPr>
            <w:r>
              <w:t xml:space="preserve">$40,000</w:t>
            </w:r>
          </w:p>
        </w:tc>
        <w:tc>
          <w:tcPr/>
          <w:p>
            <w:pPr>
              <w:pStyle w:val="Compact"/>
              <w:jc w:val="left"/>
            </w:pPr>
            <w:r>
              <w:t xml:space="preserve">11%</w:t>
            </w:r>
          </w:p>
        </w:tc>
        <w:tc>
          <w:tcPr/>
          <w:p>
            <w:pPr>
              <w:pStyle w:val="Compact"/>
              <w:jc w:val="left"/>
            </w:pPr>
            <w:r>
              <w:t xml:space="preserve">Vodacom M-Pesa API integration, AWS/cloud hosting, security audits, monitoring tools</w:t>
            </w:r>
          </w:p>
        </w:tc>
      </w:tr>
      <w:tr>
        <w:tc>
          <w:tcPr/>
          <w:p>
            <w:pPr>
              <w:pStyle w:val="Compact"/>
              <w:jc w:val="left"/>
            </w:pPr>
            <w:r>
              <w:rPr>
                <w:b/>
                <w:bCs/>
              </w:rPr>
              <w:t xml:space="preserve">Total</w:t>
            </w:r>
          </w:p>
        </w:tc>
        <w:tc>
          <w:tcPr/>
          <w:p>
            <w:pPr>
              <w:pStyle w:val="Compact"/>
              <w:jc w:val="left"/>
            </w:pPr>
            <w:r>
              <w:rPr>
                <w:b/>
                <w:bCs/>
              </w:rPr>
              <w:t xml:space="preserve">$350,000</w:t>
            </w:r>
          </w:p>
        </w:tc>
        <w:tc>
          <w:tcPr/>
          <w:p>
            <w:pPr>
              <w:pStyle w:val="Compact"/>
              <w:jc w:val="left"/>
            </w:pPr>
            <w:r>
              <w:rPr>
                <w:b/>
                <w:bCs/>
              </w:rPr>
              <w:t xml:space="preserve">100%</w:t>
            </w:r>
          </w:p>
        </w:tc>
        <w:tc>
          <w:tcPr/>
          <w:p>
            <w:pPr>
              <w:pStyle w:val="Compact"/>
            </w:pPr>
          </w:p>
        </w:tc>
      </w:tr>
    </w:tbl>
    <w:p>
      <w:r>
        <w:pict>
          <v:rect style="width:0;height:1.5pt" o:hralign="center" o:hrstd="t" o:hr="t"/>
        </w:pict>
      </w:r>
    </w:p>
    <w:bookmarkEnd w:id="68"/>
    <w:bookmarkEnd w:id="69"/>
    <w:bookmarkStart w:id="73" w:name="regulatory-compliance-framework"/>
    <w:p>
      <w:pPr>
        <w:pStyle w:val="2"/>
      </w:pPr>
      <w:r>
        <w:t xml:space="preserve">9. REGULATORY &amp; COMPLIANCE FRAMEWORK</w:t>
      </w:r>
    </w:p>
    <w:bookmarkStart w:id="70" w:name="tanzania-regulatory-landscape"/>
    <w:p>
      <w:pPr>
        <w:pStyle w:val="3"/>
      </w:pPr>
      <w:r>
        <w:t xml:space="preserve">9.1 Tanzania Regulatory Landscape</w:t>
      </w:r>
    </w:p>
    <w:tbl>
      <w:tblPr>
        <w:tblStyle w:val="Table"/>
        <w:tblW w:type="pct" w:w="5000"/>
        <w:jc w:val="left"/>
        <w:tblLayout w:type="fixed"/>
        <w:tblLook w:firstRow="1" w:lastRow="0" w:firstColumn="0" w:lastColumn="0" w:noHBand="0" w:noVBand="0" w:val="0020"/>
      </w:tblPr>
      <w:tblGrid>
        <w:gridCol w:w="2103"/>
        <w:gridCol w:w="2475"/>
        <w:gridCol w:w="3341"/>
      </w:tblGrid>
      <w:tr>
        <w:trPr>
          <w:tblHeader w:val="on"/>
        </w:trPr>
        <w:tc>
          <w:tcPr/>
          <w:p>
            <w:pPr>
              <w:pStyle w:val="Compact"/>
              <w:jc w:val="left"/>
            </w:pPr>
            <w:r>
              <w:t xml:space="preserve">Regulatory Body</w:t>
            </w:r>
          </w:p>
        </w:tc>
        <w:tc>
          <w:tcPr/>
          <w:p>
            <w:pPr>
              <w:pStyle w:val="Compact"/>
              <w:jc w:val="left"/>
            </w:pPr>
            <w:r>
              <w:t xml:space="preserve">Relevant Regulation</w:t>
            </w:r>
          </w:p>
        </w:tc>
        <w:tc>
          <w:tcPr/>
          <w:p>
            <w:pPr>
              <w:pStyle w:val="Compact"/>
              <w:jc w:val="left"/>
            </w:pPr>
            <w:r>
              <w:t xml:space="preserve">TWENDE Compliance Strategy</w:t>
            </w:r>
          </w:p>
        </w:tc>
      </w:tr>
      <w:tr>
        <w:tc>
          <w:tcPr/>
          <w:p>
            <w:pPr>
              <w:pStyle w:val="Compact"/>
              <w:jc w:val="left"/>
            </w:pPr>
            <w:r>
              <w:rPr>
                <w:b/>
                <w:bCs/>
              </w:rPr>
              <w:t xml:space="preserve">Bank of Tanzania (BoT)</w:t>
            </w:r>
          </w:p>
        </w:tc>
        <w:tc>
          <w:tcPr/>
          <w:p>
            <w:pPr>
              <w:pStyle w:val="Compact"/>
              <w:jc w:val="left"/>
            </w:pPr>
            <w:r>
              <w:t xml:space="preserve">National Payment Systems Act 2015 (amended 2023)</w:t>
            </w:r>
          </w:p>
        </w:tc>
        <w:tc>
          <w:tcPr/>
          <w:p>
            <w:pPr>
              <w:pStyle w:val="Compact"/>
              <w:jc w:val="left"/>
            </w:pPr>
            <w:r>
              <w:t xml:space="preserve">Apply for Payment Service Provider license; implement transaction monitoring</w:t>
            </w:r>
          </w:p>
        </w:tc>
      </w:tr>
      <w:tr>
        <w:tc>
          <w:tcPr/>
          <w:p>
            <w:pPr>
              <w:pStyle w:val="Compact"/>
              <w:jc w:val="left"/>
            </w:pPr>
            <w:r>
              <w:rPr>
                <w:b/>
                <w:bCs/>
              </w:rPr>
              <w:t xml:space="preserve">BoT</w:t>
            </w:r>
          </w:p>
        </w:tc>
        <w:tc>
          <w:tcPr/>
          <w:p>
            <w:pPr>
              <w:pStyle w:val="Compact"/>
              <w:jc w:val="left"/>
            </w:pPr>
            <w:r>
              <w:t xml:space="preserve">Digital Credit Provider guidelines (draft 2024)</w:t>
            </w:r>
          </w:p>
        </w:tc>
        <w:tc>
          <w:tcPr/>
          <w:p>
            <w:pPr>
              <w:pStyle w:val="Compact"/>
              <w:jc w:val="left"/>
            </w:pPr>
            <w:r>
              <w:t xml:space="preserve">Interest rate transparency, cooling-off periods, responsible lending algorithms</w:t>
            </w:r>
          </w:p>
        </w:tc>
      </w:tr>
      <w:tr>
        <w:tc>
          <w:tcPr/>
          <w:p>
            <w:pPr>
              <w:pStyle w:val="Compact"/>
              <w:jc w:val="left"/>
            </w:pPr>
            <w:r>
              <w:rPr>
                <w:b/>
                <w:bCs/>
              </w:rPr>
              <w:t xml:space="preserve">Tanzania Communications Regulatory Authority (TCRA)</w:t>
            </w:r>
          </w:p>
        </w:tc>
        <w:tc>
          <w:tcPr/>
          <w:p>
            <w:pPr>
              <w:pStyle w:val="Compact"/>
              <w:jc w:val="left"/>
            </w:pPr>
            <w:r>
              <w:t xml:space="preserve">Electronic and Postal Communications Act 2010</w:t>
            </w:r>
          </w:p>
        </w:tc>
        <w:tc>
          <w:tcPr/>
          <w:p>
            <w:pPr>
              <w:pStyle w:val="Compact"/>
              <w:jc w:val="left"/>
            </w:pPr>
            <w:r>
              <w:t xml:space="preserve">Data privacy, consumer protection, SMS marketing compliance</w:t>
            </w:r>
          </w:p>
        </w:tc>
      </w:tr>
      <w:tr>
        <w:tc>
          <w:tcPr/>
          <w:p>
            <w:pPr>
              <w:pStyle w:val="Compact"/>
              <w:jc w:val="left"/>
            </w:pPr>
            <w:r>
              <w:rPr>
                <w:b/>
                <w:bCs/>
              </w:rPr>
              <w:t xml:space="preserve">Personal Data Protection Commission</w:t>
            </w:r>
          </w:p>
        </w:tc>
        <w:tc>
          <w:tcPr/>
          <w:p>
            <w:pPr>
              <w:pStyle w:val="Compact"/>
              <w:jc w:val="left"/>
            </w:pPr>
            <w:r>
              <w:t xml:space="preserve">Personal Data Protection Act 2022</w:t>
            </w:r>
          </w:p>
        </w:tc>
        <w:tc>
          <w:tcPr/>
          <w:p>
            <w:pPr>
              <w:pStyle w:val="Compact"/>
              <w:jc w:val="left"/>
            </w:pPr>
            <w:r>
              <w:t xml:space="preserve">Consent management, data minimization, right to explanation, breach notification</w:t>
            </w:r>
          </w:p>
        </w:tc>
      </w:tr>
      <w:tr>
        <w:tc>
          <w:tcPr/>
          <w:p>
            <w:pPr>
              <w:pStyle w:val="Compact"/>
              <w:jc w:val="left"/>
            </w:pPr>
            <w:r>
              <w:rPr>
                <w:b/>
                <w:bCs/>
              </w:rPr>
              <w:t xml:space="preserve">Tanzania Revenue Authority (TRA)</w:t>
            </w:r>
          </w:p>
        </w:tc>
        <w:tc>
          <w:tcPr/>
          <w:p>
            <w:pPr>
              <w:pStyle w:val="Compact"/>
              <w:jc w:val="left"/>
            </w:pPr>
            <w:r>
              <w:t xml:space="preserve">Income Tax Act 2004</w:t>
            </w:r>
          </w:p>
        </w:tc>
        <w:tc>
          <w:tcPr/>
          <w:p>
            <w:pPr>
              <w:pStyle w:val="Compact"/>
              <w:jc w:val="left"/>
            </w:pPr>
            <w:r>
              <w:t xml:space="preserve">Corporate tax compliance, withholding tax on interest income, VAT on fees</w:t>
            </w:r>
          </w:p>
        </w:tc>
      </w:tr>
    </w:tbl>
    <w:bookmarkEnd w:id="70"/>
    <w:bookmarkStart w:id="71" w:name="kenya-regulatory-landscape-expansion"/>
    <w:p>
      <w:pPr>
        <w:pStyle w:val="3"/>
      </w:pPr>
      <w:r>
        <w:t xml:space="preserve">9.2 Kenya Regulatory Landscape (Expansion)</w:t>
      </w:r>
    </w:p>
    <w:tbl>
      <w:tblPr>
        <w:tblStyle w:val="Table"/>
        <w:tblW w:type="pct" w:w="5000"/>
        <w:jc w:val="left"/>
        <w:tblLayout w:type="fixed"/>
        <w:tblLook w:firstRow="1" w:lastRow="0" w:firstColumn="0" w:lastColumn="0" w:noHBand="0" w:noVBand="0" w:val="0020"/>
      </w:tblPr>
      <w:tblGrid>
        <w:gridCol w:w="2103"/>
        <w:gridCol w:w="2475"/>
        <w:gridCol w:w="3341"/>
      </w:tblGrid>
      <w:tr>
        <w:trPr>
          <w:tblHeader w:val="on"/>
        </w:trPr>
        <w:tc>
          <w:tcPr/>
          <w:p>
            <w:pPr>
              <w:pStyle w:val="Compact"/>
              <w:jc w:val="left"/>
            </w:pPr>
            <w:r>
              <w:t xml:space="preserve">Regulatory Body</w:t>
            </w:r>
          </w:p>
        </w:tc>
        <w:tc>
          <w:tcPr/>
          <w:p>
            <w:pPr>
              <w:pStyle w:val="Compact"/>
              <w:jc w:val="left"/>
            </w:pPr>
            <w:r>
              <w:t xml:space="preserve">Relevant Regulation</w:t>
            </w:r>
          </w:p>
        </w:tc>
        <w:tc>
          <w:tcPr/>
          <w:p>
            <w:pPr>
              <w:pStyle w:val="Compact"/>
              <w:jc w:val="left"/>
            </w:pPr>
            <w:r>
              <w:t xml:space="preserve">TWENDE Compliance Strategy</w:t>
            </w:r>
          </w:p>
        </w:tc>
      </w:tr>
      <w:tr>
        <w:tc>
          <w:tcPr/>
          <w:p>
            <w:pPr>
              <w:pStyle w:val="Compact"/>
              <w:jc w:val="left"/>
            </w:pPr>
            <w:r>
              <w:rPr>
                <w:b/>
                <w:bCs/>
              </w:rPr>
              <w:t xml:space="preserve">Central Bank of Kenya (CBK)</w:t>
            </w:r>
          </w:p>
        </w:tc>
        <w:tc>
          <w:tcPr/>
          <w:p>
            <w:pPr>
              <w:pStyle w:val="Compact"/>
              <w:jc w:val="left"/>
            </w:pPr>
            <w:r>
              <w:t xml:space="preserve">Digital Credit Provider Regulations 2022</w:t>
            </w:r>
          </w:p>
        </w:tc>
        <w:tc>
          <w:tcPr/>
          <w:p>
            <w:pPr>
              <w:pStyle w:val="Compact"/>
              <w:jc w:val="left"/>
            </w:pPr>
            <w:r>
              <w:t xml:space="preserve">Apply for DCP license; implement APR disclosure, cooling-off period, CRB reporting</w:t>
            </w:r>
          </w:p>
        </w:tc>
      </w:tr>
      <w:tr>
        <w:tc>
          <w:tcPr/>
          <w:p>
            <w:pPr>
              <w:pStyle w:val="Compact"/>
              <w:jc w:val="left"/>
            </w:pPr>
            <w:r>
              <w:rPr>
                <w:b/>
                <w:bCs/>
              </w:rPr>
              <w:t xml:space="preserve">CBK</w:t>
            </w:r>
          </w:p>
        </w:tc>
        <w:tc>
          <w:tcPr/>
          <w:p>
            <w:pPr>
              <w:pStyle w:val="Compact"/>
              <w:jc w:val="left"/>
            </w:pPr>
            <w:r>
              <w:t xml:space="preserve">National Payment System Act 2011</w:t>
            </w:r>
          </w:p>
        </w:tc>
        <w:tc>
          <w:tcPr/>
          <w:p>
            <w:pPr>
              <w:pStyle w:val="Compact"/>
              <w:jc w:val="left"/>
            </w:pPr>
            <w:r>
              <w:t xml:space="preserve">PSP license for M-Pesa integration</w:t>
            </w:r>
          </w:p>
        </w:tc>
      </w:tr>
      <w:tr>
        <w:tc>
          <w:tcPr/>
          <w:p>
            <w:pPr>
              <w:pStyle w:val="Compact"/>
              <w:jc w:val="left"/>
            </w:pPr>
            <w:r>
              <w:rPr>
                <w:b/>
                <w:bCs/>
              </w:rPr>
              <w:t xml:space="preserve">Office of the Data Protection Commissioner</w:t>
            </w:r>
          </w:p>
        </w:tc>
        <w:tc>
          <w:tcPr/>
          <w:p>
            <w:pPr>
              <w:pStyle w:val="Compact"/>
              <w:jc w:val="left"/>
            </w:pPr>
            <w:r>
              <w:t xml:space="preserve">Data Protection Act 2019</w:t>
            </w:r>
          </w:p>
        </w:tc>
        <w:tc>
          <w:tcPr/>
          <w:p>
            <w:pPr>
              <w:pStyle w:val="Compact"/>
              <w:jc w:val="left"/>
            </w:pPr>
            <w:r>
              <w:t xml:space="preserve">Consent management, purpose limitation, data subject rights</w:t>
            </w:r>
          </w:p>
        </w:tc>
      </w:tr>
      <w:tr>
        <w:tc>
          <w:tcPr/>
          <w:p>
            <w:pPr>
              <w:pStyle w:val="Compact"/>
              <w:jc w:val="left"/>
            </w:pPr>
            <w:r>
              <w:rPr>
                <w:b/>
                <w:bCs/>
              </w:rPr>
              <w:t xml:space="preserve">Insurance Regulatory Authority (IRA)</w:t>
            </w:r>
          </w:p>
        </w:tc>
        <w:tc>
          <w:tcPr/>
          <w:p>
            <w:pPr>
              <w:pStyle w:val="Compact"/>
              <w:jc w:val="left"/>
            </w:pPr>
            <w:r>
              <w:t xml:space="preserve">Insurance Act (CAP 487)</w:t>
            </w:r>
          </w:p>
        </w:tc>
        <w:tc>
          <w:tcPr/>
          <w:p>
            <w:pPr>
              <w:pStyle w:val="Compact"/>
              <w:jc w:val="left"/>
            </w:pPr>
            <w:r>
              <w:t xml:space="preserve">Partner with licensed underwriters; TWENDE acts as distributor, not insurer</w:t>
            </w:r>
          </w:p>
        </w:tc>
      </w:tr>
    </w:tbl>
    <w:bookmarkEnd w:id="71"/>
    <w:bookmarkStart w:id="72" w:name="cross-cutting-compliance-requirements"/>
    <w:p>
      <w:pPr>
        <w:pStyle w:val="3"/>
      </w:pPr>
      <w:r>
        <w:t xml:space="preserve">9.3 Cross-Cutting Compliance Requirements</w:t>
      </w:r>
    </w:p>
    <w:tbl>
      <w:tblPr>
        <w:tblStyle w:val="Table"/>
        <w:tblW w:type="pct" w:w="5000"/>
        <w:jc w:val="left"/>
        <w:tblLayout w:type="fixed"/>
        <w:tblLook w:firstRow="1" w:lastRow="0" w:firstColumn="0" w:lastColumn="0" w:noHBand="0" w:noVBand="0" w:val="0020"/>
      </w:tblPr>
      <w:tblGrid>
        <w:gridCol w:w="3677"/>
        <w:gridCol w:w="4242"/>
      </w:tblGrid>
      <w:tr>
        <w:trPr>
          <w:tblHeader w:val="on"/>
        </w:trPr>
        <w:tc>
          <w:tcPr/>
          <w:p>
            <w:pPr>
              <w:pStyle w:val="Compact"/>
              <w:jc w:val="left"/>
            </w:pPr>
            <w:r>
              <w:t xml:space="preserve">Requirement</w:t>
            </w:r>
          </w:p>
        </w:tc>
        <w:tc>
          <w:tcPr/>
          <w:p>
            <w:pPr>
              <w:pStyle w:val="Compact"/>
              <w:jc w:val="left"/>
            </w:pPr>
            <w:r>
              <w:t xml:space="preserve">Implementation</w:t>
            </w:r>
          </w:p>
        </w:tc>
      </w:tr>
      <w:tr>
        <w:tc>
          <w:tcPr/>
          <w:p>
            <w:pPr>
              <w:pStyle w:val="Compact"/>
              <w:jc w:val="left"/>
            </w:pPr>
            <w:r>
              <w:rPr>
                <w:b/>
                <w:bCs/>
              </w:rPr>
              <w:t xml:space="preserve">APR Disclosure</w:t>
            </w:r>
          </w:p>
        </w:tc>
        <w:tc>
          <w:tcPr/>
          <w:p>
            <w:pPr>
              <w:pStyle w:val="Compact"/>
              <w:jc w:val="left"/>
            </w:pPr>
            <w:r>
              <w:t xml:space="preserve">Prominently displayed on all loan calculators and offers (CBK requirement: max 24% APR)</w:t>
            </w:r>
          </w:p>
        </w:tc>
      </w:tr>
      <w:tr>
        <w:tc>
          <w:tcPr/>
          <w:p>
            <w:pPr>
              <w:pStyle w:val="Compact"/>
              <w:jc w:val="left"/>
            </w:pPr>
            <w:r>
              <w:rPr>
                <w:b/>
                <w:bCs/>
              </w:rPr>
              <w:t xml:space="preserve">Cooling-Off Period</w:t>
            </w:r>
          </w:p>
        </w:tc>
        <w:tc>
          <w:tcPr/>
          <w:p>
            <w:pPr>
              <w:pStyle w:val="Compact"/>
              <w:jc w:val="left"/>
            </w:pPr>
            <w:r>
              <w:t xml:space="preserve">24-hour cancellation window with full refund after loan disbursement</w:t>
            </w:r>
          </w:p>
        </w:tc>
      </w:tr>
      <w:tr>
        <w:tc>
          <w:tcPr/>
          <w:p>
            <w:pPr>
              <w:pStyle w:val="Compact"/>
              <w:jc w:val="left"/>
            </w:pPr>
            <w:r>
              <w:rPr>
                <w:b/>
                <w:bCs/>
              </w:rPr>
              <w:t xml:space="preserve">CRB Reporting</w:t>
            </w:r>
          </w:p>
        </w:tc>
        <w:tc>
          <w:tcPr/>
          <w:p>
            <w:pPr>
              <w:pStyle w:val="Compact"/>
              <w:jc w:val="left"/>
            </w:pPr>
            <w:r>
              <w:t xml:space="preserve">Report defaults &gt;90 days to Credit Reference Bureaus</w:t>
            </w:r>
          </w:p>
        </w:tc>
      </w:tr>
      <w:tr>
        <w:tc>
          <w:tcPr/>
          <w:p>
            <w:pPr>
              <w:pStyle w:val="Compact"/>
              <w:jc w:val="left"/>
            </w:pPr>
            <w:r>
              <w:rPr>
                <w:b/>
                <w:bCs/>
              </w:rPr>
              <w:t xml:space="preserve">Data Protection</w:t>
            </w:r>
          </w:p>
        </w:tc>
        <w:tc>
          <w:tcPr/>
          <w:p>
            <w:pPr>
              <w:pStyle w:val="Compact"/>
              <w:jc w:val="left"/>
            </w:pPr>
            <w:r>
              <w:t xml:space="preserve">Consent management platform, data minimization, right to access/deletion, encryption at rest and in transit</w:t>
            </w:r>
          </w:p>
        </w:tc>
      </w:tr>
      <w:tr>
        <w:tc>
          <w:tcPr/>
          <w:p>
            <w:pPr>
              <w:pStyle w:val="Compact"/>
              <w:jc w:val="left"/>
            </w:pPr>
            <w:r>
              <w:rPr>
                <w:b/>
                <w:bCs/>
              </w:rPr>
              <w:t xml:space="preserve">Anti-Money Laundering</w:t>
            </w:r>
          </w:p>
        </w:tc>
        <w:tc>
          <w:tcPr/>
          <w:p>
            <w:pPr>
              <w:pStyle w:val="Compact"/>
              <w:jc w:val="left"/>
            </w:pPr>
            <w:r>
              <w:t xml:space="preserve">KYC tier system, transaction monitoring, suspicious activity reporting</w:t>
            </w:r>
          </w:p>
        </w:tc>
      </w:tr>
      <w:tr>
        <w:tc>
          <w:tcPr/>
          <w:p>
            <w:pPr>
              <w:pStyle w:val="Compact"/>
              <w:jc w:val="left"/>
            </w:pPr>
            <w:r>
              <w:rPr>
                <w:b/>
                <w:bCs/>
              </w:rPr>
              <w:t xml:space="preserve">Consumer Protection</w:t>
            </w:r>
          </w:p>
        </w:tc>
        <w:tc>
          <w:tcPr/>
          <w:p>
            <w:pPr>
              <w:pStyle w:val="Compact"/>
              <w:jc w:val="left"/>
            </w:pPr>
            <w:r>
              <w:t xml:space="preserve">Clear terms and conditions, complaint handling mechanism, dispute resolution</w:t>
            </w:r>
          </w:p>
        </w:tc>
      </w:tr>
    </w:tbl>
    <w:p>
      <w:r>
        <w:pict>
          <v:rect style="width:0;height:1.5pt" o:hralign="center" o:hrstd="t" o:hr="t"/>
        </w:pict>
      </w:r>
    </w:p>
    <w:bookmarkEnd w:id="72"/>
    <w:bookmarkEnd w:id="73"/>
    <w:bookmarkStart w:id="76" w:name="implementation-roadmap"/>
    <w:p>
      <w:pPr>
        <w:pStyle w:val="2"/>
      </w:pPr>
      <w:r>
        <w:t xml:space="preserve">10. IMPLEMENTATION ROADMAP</w:t>
      </w:r>
    </w:p>
    <w:bookmarkStart w:id="74" w:name="month-pilot-roadmap-tanzania"/>
    <w:p>
      <w:pPr>
        <w:pStyle w:val="3"/>
      </w:pPr>
      <w:r>
        <w:t xml:space="preserve">10.1 12-Month Pilot Roadmap (Tanzania)</w:t>
      </w:r>
    </w:p>
    <w:tbl>
      <w:tblPr>
        <w:tblStyle w:val="Table"/>
        <w:tblW w:type="pct" w:w="5000"/>
        <w:jc w:val="left"/>
        <w:tblLayout w:type="fixed"/>
        <w:tblLook w:firstRow="1" w:lastRow="0" w:firstColumn="0" w:lastColumn="0" w:noHBand="0" w:noVBand="0" w:val="0020"/>
      </w:tblPr>
      <w:tblGrid>
        <w:gridCol w:w="1549"/>
        <w:gridCol w:w="1893"/>
        <w:gridCol w:w="2238"/>
        <w:gridCol w:w="2238"/>
      </w:tblGrid>
      <w:tr>
        <w:trPr>
          <w:tblHeader w:val="on"/>
        </w:trPr>
        <w:tc>
          <w:tcPr/>
          <w:p>
            <w:pPr>
              <w:pStyle w:val="Compact"/>
              <w:jc w:val="left"/>
            </w:pPr>
            <w:r>
              <w:t xml:space="preserve">Quarter</w:t>
            </w:r>
          </w:p>
        </w:tc>
        <w:tc>
          <w:tcPr/>
          <w:p>
            <w:pPr>
              <w:pStyle w:val="Compact"/>
              <w:jc w:val="left"/>
            </w:pPr>
            <w:r>
              <w:t xml:space="preserve">Milestones</w:t>
            </w:r>
          </w:p>
        </w:tc>
        <w:tc>
          <w:tcPr/>
          <w:p>
            <w:pPr>
              <w:pStyle w:val="Compact"/>
              <w:jc w:val="left"/>
            </w:pPr>
            <w:r>
              <w:t xml:space="preserve">Deliverables</w:t>
            </w:r>
          </w:p>
        </w:tc>
        <w:tc>
          <w:tcPr/>
          <w:p>
            <w:pPr>
              <w:pStyle w:val="Compact"/>
              <w:jc w:val="left"/>
            </w:pPr>
            <w:r>
              <w:t xml:space="preserve">Users Target</w:t>
            </w:r>
          </w:p>
        </w:tc>
      </w:tr>
      <w:tr>
        <w:tc>
          <w:tcPr/>
          <w:p>
            <w:pPr>
              <w:pStyle w:val="Compact"/>
              <w:jc w:val="left"/>
            </w:pPr>
            <w:r>
              <w:rPr>
                <w:b/>
                <w:bCs/>
              </w:rPr>
              <w:t xml:space="preserve">Q1 (Jul-Sep 2026)</w:t>
            </w:r>
          </w:p>
        </w:tc>
        <w:tc>
          <w:tcPr/>
          <w:p>
            <w:pPr>
              <w:pStyle w:val="Compact"/>
              <w:jc w:val="left"/>
            </w:pPr>
            <w:r>
              <w:t xml:space="preserve">Backend development; BoT licensing initiation; team hiring</w:t>
            </w:r>
          </w:p>
        </w:tc>
        <w:tc>
          <w:tcPr/>
          <w:p>
            <w:pPr>
              <w:pStyle w:val="Compact"/>
              <w:jc w:val="left"/>
            </w:pPr>
            <w:r>
              <w:t xml:space="preserve">PostgreSQL backend live; API documentation; legal counsel engaged</w:t>
            </w:r>
          </w:p>
        </w:tc>
        <w:tc>
          <w:tcPr/>
          <w:p>
            <w:pPr>
              <w:pStyle w:val="Compact"/>
              <w:jc w:val="left"/>
            </w:pPr>
            <w:r>
              <w:t xml:space="preserve">0</w:t>
            </w:r>
          </w:p>
        </w:tc>
      </w:tr>
      <w:tr>
        <w:tc>
          <w:tcPr/>
          <w:p>
            <w:pPr>
              <w:pStyle w:val="Compact"/>
              <w:jc w:val="left"/>
            </w:pPr>
            <w:r>
              <w:rPr>
                <w:b/>
                <w:bCs/>
              </w:rPr>
              <w:t xml:space="preserve">Q2 (Oct-Dec 2026)</w:t>
            </w:r>
          </w:p>
        </w:tc>
        <w:tc>
          <w:tcPr/>
          <w:p>
            <w:pPr>
              <w:pStyle w:val="Compact"/>
              <w:jc w:val="left"/>
            </w:pPr>
            <w:r>
              <w:t xml:space="preserve">Pilot launch in Dar es Salaam; 50 chama groups onboarded; Trust Engine validation</w:t>
            </w:r>
          </w:p>
        </w:tc>
        <w:tc>
          <w:tcPr/>
          <w:p>
            <w:pPr>
              <w:pStyle w:val="Compact"/>
              <w:jc w:val="left"/>
            </w:pPr>
            <w:r>
              <w:t xml:space="preserve">Mobile app (MVP); 50 active chamas; first loans disbursed; pilot metrics dashboard</w:t>
            </w:r>
          </w:p>
        </w:tc>
        <w:tc>
          <w:tcPr/>
          <w:p>
            <w:pPr>
              <w:pStyle w:val="Compact"/>
              <w:jc w:val="left"/>
            </w:pPr>
            <w:r>
              <w:t xml:space="preserve">500</w:t>
            </w:r>
          </w:p>
        </w:tc>
      </w:tr>
      <w:tr>
        <w:tc>
          <w:tcPr/>
          <w:p>
            <w:pPr>
              <w:pStyle w:val="Compact"/>
              <w:jc w:val="left"/>
            </w:pPr>
            <w:r>
              <w:rPr>
                <w:b/>
                <w:bCs/>
              </w:rPr>
              <w:t xml:space="preserve">Q3 (Jan-Mar 2027)</w:t>
            </w:r>
          </w:p>
        </w:tc>
        <w:tc>
          <w:tcPr/>
          <w:p>
            <w:pPr>
              <w:pStyle w:val="Compact"/>
              <w:jc w:val="left"/>
            </w:pPr>
            <w:r>
              <w:t xml:space="preserve">Scale to Arusha; 200 chama groups; Biashara + Soko v2 live; M-Pesa integration</w:t>
            </w:r>
          </w:p>
        </w:tc>
        <w:tc>
          <w:tcPr/>
          <w:p>
            <w:pPr>
              <w:pStyle w:val="Compact"/>
              <w:jc w:val="left"/>
            </w:pPr>
            <w:r>
              <w:t xml:space="preserve">200 active chamas; KES 10M loan volume; Soko marketplace with 20 vendors; all 5 pillars operational</w:t>
            </w:r>
          </w:p>
        </w:tc>
        <w:tc>
          <w:tcPr/>
          <w:p>
            <w:pPr>
              <w:pStyle w:val="Compact"/>
              <w:jc w:val="left"/>
            </w:pPr>
            <w:r>
              <w:t xml:space="preserve">2,000</w:t>
            </w:r>
          </w:p>
        </w:tc>
      </w:tr>
      <w:tr>
        <w:tc>
          <w:tcPr/>
          <w:p>
            <w:pPr>
              <w:pStyle w:val="Compact"/>
              <w:jc w:val="left"/>
            </w:pPr>
            <w:r>
              <w:rPr>
                <w:b/>
                <w:bCs/>
              </w:rPr>
              <w:t xml:space="preserve">Q4 (Apr-Jun 2027)</w:t>
            </w:r>
          </w:p>
        </w:tc>
        <w:tc>
          <w:tcPr/>
          <w:p>
            <w:pPr>
              <w:pStyle w:val="Compact"/>
              <w:jc w:val="left"/>
            </w:pPr>
            <w:r>
              <w:t xml:space="preserve">Nationwide Tanzania expansion; Kenya market entry preparation; seed fundraising</w:t>
            </w:r>
          </w:p>
        </w:tc>
        <w:tc>
          <w:tcPr/>
          <w:p>
            <w:pPr>
              <w:pStyle w:val="Compact"/>
              <w:jc w:val="left"/>
            </w:pPr>
            <w:r>
              <w:t xml:space="preserve">5,000 active users; KES 50M loan volume; seed round data room; regulatory approvals for Kenya</w:t>
            </w:r>
          </w:p>
        </w:tc>
        <w:tc>
          <w:tcPr/>
          <w:p>
            <w:pPr>
              <w:pStyle w:val="Compact"/>
              <w:jc w:val="left"/>
            </w:pPr>
            <w:r>
              <w:t xml:space="preserve">5,000</w:t>
            </w:r>
          </w:p>
        </w:tc>
      </w:tr>
    </w:tbl>
    <w:bookmarkEnd w:id="74"/>
    <w:bookmarkStart w:id="75" w:name="development-sprints-post-grant"/>
    <w:p>
      <w:pPr>
        <w:pStyle w:val="3"/>
      </w:pPr>
      <w:r>
        <w:t xml:space="preserve">10.2 Development Sprints (Post-Grant)</w:t>
      </w:r>
    </w:p>
    <w:tbl>
      <w:tblPr>
        <w:tblStyle w:val="Table"/>
        <w:tblW w:type="pct" w:w="5000"/>
        <w:jc w:val="left"/>
        <w:tblLayout w:type="fixed"/>
        <w:tblLook w:firstRow="1" w:lastRow="0" w:firstColumn="0" w:lastColumn="0" w:noHBand="0" w:noVBand="0" w:val="0020"/>
      </w:tblPr>
      <w:tblGrid>
        <w:gridCol w:w="1667"/>
        <w:gridCol w:w="1458"/>
        <w:gridCol w:w="2084"/>
        <w:gridCol w:w="2709"/>
      </w:tblGrid>
      <w:tr>
        <w:trPr>
          <w:tblHeader w:val="on"/>
        </w:trPr>
        <w:tc>
          <w:tcPr/>
          <w:p>
            <w:pPr>
              <w:pStyle w:val="Compact"/>
              <w:jc w:val="left"/>
            </w:pPr>
            <w:r>
              <w:t xml:space="preserve">Sprint</w:t>
            </w:r>
          </w:p>
        </w:tc>
        <w:tc>
          <w:tcPr/>
          <w:p>
            <w:pPr>
              <w:pStyle w:val="Compact"/>
              <w:jc w:val="left"/>
            </w:pPr>
            <w:r>
              <w:t xml:space="preserve">Focus</w:t>
            </w:r>
          </w:p>
        </w:tc>
        <w:tc>
          <w:tcPr/>
          <w:p>
            <w:pPr>
              <w:pStyle w:val="Compact"/>
              <w:jc w:val="left"/>
            </w:pPr>
            <w:r>
              <w:t xml:space="preserve">Duration</w:t>
            </w:r>
          </w:p>
        </w:tc>
        <w:tc>
          <w:tcPr/>
          <w:p>
            <w:pPr>
              <w:pStyle w:val="Compact"/>
              <w:jc w:val="left"/>
            </w:pPr>
            <w:r>
              <w:t xml:space="preserve">Deliverable</w:t>
            </w:r>
          </w:p>
        </w:tc>
      </w:tr>
      <w:tr>
        <w:tc>
          <w:tcPr/>
          <w:p>
            <w:pPr>
              <w:pStyle w:val="Compact"/>
              <w:jc w:val="left"/>
            </w:pPr>
            <w:r>
              <w:rPr>
                <w:b/>
                <w:bCs/>
              </w:rPr>
              <w:t xml:space="preserve">Backend Foundation</w:t>
            </w:r>
          </w:p>
        </w:tc>
        <w:tc>
          <w:tcPr/>
          <w:p>
            <w:pPr>
              <w:pStyle w:val="Compact"/>
              <w:jc w:val="left"/>
            </w:pPr>
            <w:r>
              <w:t xml:space="preserve">PostgreSQL schema, Drizzle ORM, Express API, authentication</w:t>
            </w:r>
          </w:p>
        </w:tc>
        <w:tc>
          <w:tcPr/>
          <w:p>
            <w:pPr>
              <w:pStyle w:val="Compact"/>
              <w:jc w:val="left"/>
            </w:pPr>
            <w:r>
              <w:t xml:space="preserve">6 weeks</w:t>
            </w:r>
          </w:p>
        </w:tc>
        <w:tc>
          <w:tcPr/>
          <w:p>
            <w:pPr>
              <w:pStyle w:val="Compact"/>
              <w:jc w:val="left"/>
            </w:pPr>
            <w:r>
              <w:t xml:space="preserve">Production API with 50+ endpoints</w:t>
            </w:r>
          </w:p>
        </w:tc>
      </w:tr>
      <w:tr>
        <w:tc>
          <w:tcPr/>
          <w:p>
            <w:pPr>
              <w:pStyle w:val="Compact"/>
              <w:jc w:val="left"/>
            </w:pPr>
            <w:r>
              <w:rPr>
                <w:b/>
                <w:bCs/>
              </w:rPr>
              <w:t xml:space="preserve">Trust Engine Production</w:t>
            </w:r>
          </w:p>
        </w:tc>
        <w:tc>
          <w:tcPr/>
          <w:p>
            <w:pPr>
              <w:pStyle w:val="Compact"/>
              <w:jc w:val="left"/>
            </w:pPr>
            <w:r>
              <w:t xml:space="preserve">XGBoost model training, SHAP deployment, caching layer</w:t>
            </w:r>
          </w:p>
        </w:tc>
        <w:tc>
          <w:tcPr/>
          <w:p>
            <w:pPr>
              <w:pStyle w:val="Compact"/>
              <w:jc w:val="left"/>
            </w:pPr>
            <w:r>
              <w:t xml:space="preserve">4 weeks</w:t>
            </w:r>
          </w:p>
        </w:tc>
        <w:tc>
          <w:tcPr/>
          <w:p>
            <w:pPr>
              <w:pStyle w:val="Compact"/>
              <w:jc w:val="left"/>
            </w:pPr>
            <w:r>
              <w:t xml:space="preserve">Score API &lt;3s response, &lt;50ms SHAP</w:t>
            </w:r>
          </w:p>
        </w:tc>
      </w:tr>
      <w:tr>
        <w:tc>
          <w:tcPr/>
          <w:p>
            <w:pPr>
              <w:pStyle w:val="Compact"/>
              <w:jc w:val="left"/>
            </w:pPr>
            <w:r>
              <w:rPr>
                <w:b/>
                <w:bCs/>
              </w:rPr>
              <w:t xml:space="preserve">Mobile App (React Native)</w:t>
            </w:r>
          </w:p>
        </w:tc>
        <w:tc>
          <w:tcPr/>
          <w:p>
            <w:pPr>
              <w:pStyle w:val="Compact"/>
              <w:jc w:val="left"/>
            </w:pPr>
            <w:r>
              <w:t xml:space="preserve">Cross-platform mobile app (iOS + Android)</w:t>
            </w:r>
          </w:p>
        </w:tc>
        <w:tc>
          <w:tcPr/>
          <w:p>
            <w:pPr>
              <w:pStyle w:val="Compact"/>
              <w:jc w:val="left"/>
            </w:pPr>
            <w:r>
              <w:t xml:space="preserve">8 weeks</w:t>
            </w:r>
          </w:p>
        </w:tc>
        <w:tc>
          <w:tcPr/>
          <w:p>
            <w:pPr>
              <w:pStyle w:val="Compact"/>
              <w:jc w:val="left"/>
            </w:pPr>
            <w:r>
              <w:t xml:space="preserve">App store submission ready</w:t>
            </w:r>
          </w:p>
        </w:tc>
      </w:tr>
      <w:tr>
        <w:tc>
          <w:tcPr/>
          <w:p>
            <w:pPr>
              <w:pStyle w:val="Compact"/>
              <w:jc w:val="left"/>
            </w:pPr>
            <w:r>
              <w:rPr>
                <w:b/>
                <w:bCs/>
              </w:rPr>
              <w:t xml:space="preserve">M-Pesa Integration</w:t>
            </w:r>
          </w:p>
        </w:tc>
        <w:tc>
          <w:tcPr/>
          <w:p>
            <w:pPr>
              <w:pStyle w:val="Compact"/>
              <w:jc w:val="left"/>
            </w:pPr>
            <w:r>
              <w:t xml:space="preserve">Vodacom M-Pesa API: STK Push, B2C, C2B callbacks</w:t>
            </w:r>
          </w:p>
        </w:tc>
        <w:tc>
          <w:tcPr/>
          <w:p>
            <w:pPr>
              <w:pStyle w:val="Compact"/>
              <w:jc w:val="left"/>
            </w:pPr>
            <w:r>
              <w:t xml:space="preserve">4 weeks</w:t>
            </w:r>
          </w:p>
        </w:tc>
        <w:tc>
          <w:tcPr/>
          <w:p>
            <w:pPr>
              <w:pStyle w:val="Compact"/>
              <w:jc w:val="left"/>
            </w:pPr>
            <w:r>
              <w:t xml:space="preserve">Production payment processing</w:t>
            </w:r>
          </w:p>
        </w:tc>
      </w:tr>
      <w:tr>
        <w:tc>
          <w:tcPr/>
          <w:p>
            <w:pPr>
              <w:pStyle w:val="Compact"/>
              <w:jc w:val="left"/>
            </w:pPr>
            <w:r>
              <w:rPr>
                <w:b/>
                <w:bCs/>
              </w:rPr>
              <w:t xml:space="preserve">Chama v2</w:t>
            </w:r>
          </w:p>
        </w:tc>
        <w:tc>
          <w:tcPr/>
          <w:p>
            <w:pPr>
              <w:pStyle w:val="Compact"/>
              <w:jc w:val="left"/>
            </w:pPr>
            <w:r>
              <w:t xml:space="preserve">Full digital ROSCA with group analytics</w:t>
            </w:r>
          </w:p>
        </w:tc>
        <w:tc>
          <w:tcPr/>
          <w:p>
            <w:pPr>
              <w:pStyle w:val="Compact"/>
              <w:jc w:val="left"/>
            </w:pPr>
            <w:r>
              <w:t xml:space="preserve">3 weeks</w:t>
            </w:r>
          </w:p>
        </w:tc>
        <w:tc>
          <w:tcPr/>
          <w:p>
            <w:pPr>
              <w:pStyle w:val="Compact"/>
              <w:jc w:val="left"/>
            </w:pPr>
            <w:r>
              <w:t xml:space="preserve">200 groups onboarded</w:t>
            </w:r>
          </w:p>
        </w:tc>
      </w:tr>
      <w:tr>
        <w:tc>
          <w:tcPr/>
          <w:p>
            <w:pPr>
              <w:pStyle w:val="Compact"/>
              <w:jc w:val="left"/>
            </w:pPr>
            <w:r>
              <w:rPr>
                <w:b/>
                <w:bCs/>
              </w:rPr>
              <w:t xml:space="preserve">Biashara v2</w:t>
            </w:r>
          </w:p>
        </w:tc>
        <w:tc>
          <w:tcPr/>
          <w:p>
            <w:pPr>
              <w:pStyle w:val="Compact"/>
              <w:jc w:val="left"/>
            </w:pPr>
            <w:r>
              <w:t xml:space="preserve">Production loan engine with reducing balance</w:t>
            </w:r>
          </w:p>
        </w:tc>
        <w:tc>
          <w:tcPr/>
          <w:p>
            <w:pPr>
              <w:pStyle w:val="Compact"/>
              <w:jc w:val="left"/>
            </w:pPr>
            <w:r>
              <w:t xml:space="preserve">3 weeks</w:t>
            </w:r>
          </w:p>
        </w:tc>
        <w:tc>
          <w:tcPr/>
          <w:p>
            <w:pPr>
              <w:pStyle w:val="Compact"/>
              <w:jc w:val="left"/>
            </w:pPr>
            <w:r>
              <w:t xml:space="preserve">First loans disbursed</w:t>
            </w:r>
          </w:p>
        </w:tc>
      </w:tr>
      <w:tr>
        <w:tc>
          <w:tcPr/>
          <w:p>
            <w:pPr>
              <w:pStyle w:val="Compact"/>
              <w:jc w:val="left"/>
            </w:pPr>
            <w:r>
              <w:rPr>
                <w:b/>
                <w:bCs/>
              </w:rPr>
              <w:t xml:space="preserve">Soko v2</w:t>
            </w:r>
          </w:p>
        </w:tc>
        <w:tc>
          <w:tcPr/>
          <w:p>
            <w:pPr>
              <w:pStyle w:val="Compact"/>
              <w:jc w:val="left"/>
            </w:pPr>
            <w:r>
              <w:t xml:space="preserve">Full marketplace with WhatsApp selling</w:t>
            </w:r>
          </w:p>
        </w:tc>
        <w:tc>
          <w:tcPr/>
          <w:p>
            <w:pPr>
              <w:pStyle w:val="Compact"/>
              <w:jc w:val="left"/>
            </w:pPr>
            <w:r>
              <w:t xml:space="preserve">4 weeks</w:t>
            </w:r>
          </w:p>
        </w:tc>
        <w:tc>
          <w:tcPr/>
          <w:p>
            <w:pPr>
              <w:pStyle w:val="Compact"/>
              <w:jc w:val="left"/>
            </w:pPr>
            <w:r>
              <w:t xml:space="preserve">20 vendor storefronts</w:t>
            </w:r>
          </w:p>
        </w:tc>
      </w:tr>
      <w:tr>
        <w:tc>
          <w:tcPr/>
          <w:p>
            <w:pPr>
              <w:pStyle w:val="Compact"/>
              <w:jc w:val="left"/>
            </w:pPr>
            <w:r>
              <w:rPr>
                <w:b/>
                <w:bCs/>
              </w:rPr>
              <w:t xml:space="preserve">Analytics Dashboard</w:t>
            </w:r>
          </w:p>
        </w:tc>
        <w:tc>
          <w:tcPr/>
          <w:p>
            <w:pPr>
              <w:pStyle w:val="Compact"/>
              <w:jc w:val="left"/>
            </w:pPr>
            <w:r>
              <w:t xml:space="preserve">Executive, operations, compliance dashboards</w:t>
            </w:r>
          </w:p>
        </w:tc>
        <w:tc>
          <w:tcPr/>
          <w:p>
            <w:pPr>
              <w:pStyle w:val="Compact"/>
              <w:jc w:val="left"/>
            </w:pPr>
            <w:r>
              <w:t xml:space="preserve">4 weeks</w:t>
            </w:r>
          </w:p>
        </w:tc>
        <w:tc>
          <w:tcPr/>
          <w:p>
            <w:pPr>
              <w:pStyle w:val="Compact"/>
              <w:jc w:val="left"/>
            </w:pPr>
            <w:r>
              <w:t xml:space="preserve">Real-time KPI monitoring</w:t>
            </w:r>
          </w:p>
        </w:tc>
      </w:tr>
    </w:tbl>
    <w:p>
      <w:r>
        <w:pict>
          <v:rect style="width:0;height:1.5pt" o:hralign="center" o:hrstd="t" o:hr="t"/>
        </w:pict>
      </w:r>
    </w:p>
    <w:bookmarkEnd w:id="75"/>
    <w:bookmarkEnd w:id="76"/>
    <w:bookmarkStart w:id="77" w:name="risk-assessment-mitigation"/>
    <w:p>
      <w:pPr>
        <w:pStyle w:val="2"/>
      </w:pPr>
      <w:r>
        <w:t xml:space="preserve">11. RISK ASSESSMENT &amp; MITIGATION</w:t>
      </w:r>
    </w:p>
    <w:tbl>
      <w:tblPr>
        <w:tblStyle w:val="Table"/>
        <w:tblW w:type="pct" w:w="5000"/>
        <w:jc w:val="left"/>
        <w:tblLayout w:type="fixed"/>
        <w:tblLook w:firstRow="1" w:lastRow="0" w:firstColumn="0" w:lastColumn="0" w:noHBand="0" w:noVBand="0" w:val="0020"/>
      </w:tblPr>
      <w:tblGrid>
        <w:gridCol w:w="1606"/>
        <w:gridCol w:w="1492"/>
        <w:gridCol w:w="1492"/>
        <w:gridCol w:w="918"/>
        <w:gridCol w:w="2410"/>
      </w:tblGrid>
      <w:tr>
        <w:trPr>
          <w:tblHeader w:val="on"/>
        </w:trPr>
        <w:tc>
          <w:tcPr/>
          <w:p>
            <w:pPr>
              <w:pStyle w:val="Compact"/>
              <w:jc w:val="left"/>
            </w:pPr>
            <w:r>
              <w:t xml:space="preserve">Risk Category</w:t>
            </w:r>
          </w:p>
        </w:tc>
        <w:tc>
          <w:tcPr/>
          <w:p>
            <w:pPr>
              <w:pStyle w:val="Compact"/>
              <w:jc w:val="left"/>
            </w:pPr>
            <w:r>
              <w:t xml:space="preserve">Specific 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rPr>
                <w:b/>
                <w:bCs/>
              </w:rPr>
              <w:t xml:space="preserve">Regulatory</w:t>
            </w:r>
          </w:p>
        </w:tc>
        <w:tc>
          <w:tcPr/>
          <w:p>
            <w:pPr>
              <w:pStyle w:val="Compact"/>
              <w:jc w:val="left"/>
            </w:pPr>
            <w:r>
              <w:t xml:space="preserve">BoT delays DCP license approval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Engage regulatory counsel early; submit comprehensive application; maintain dialogue with regulators</w:t>
            </w:r>
          </w:p>
        </w:tc>
      </w:tr>
      <w:tr>
        <w:tc>
          <w:tcPr/>
          <w:p>
            <w:pPr>
              <w:pStyle w:val="Compact"/>
              <w:jc w:val="left"/>
            </w:pPr>
            <w:r>
              <w:rPr>
                <w:b/>
                <w:bCs/>
              </w:rPr>
              <w:t xml:space="preserve">Regulatory</w:t>
            </w:r>
          </w:p>
        </w:tc>
        <w:tc>
          <w:tcPr/>
          <w:p>
            <w:pPr>
              <w:pStyle w:val="Compact"/>
              <w:jc w:val="left"/>
            </w:pPr>
            <w:r>
              <w:t xml:space="preserve">Interest rate cap legislation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Design for rate cap compliance (already capped at 24%); diversify revenue streams beyond interest</w:t>
            </w:r>
          </w:p>
        </w:tc>
      </w:tr>
      <w:tr>
        <w:tc>
          <w:tcPr/>
          <w:p>
            <w:pPr>
              <w:pStyle w:val="Compact"/>
              <w:jc w:val="left"/>
            </w:pPr>
            <w:r>
              <w:rPr>
                <w:b/>
                <w:bCs/>
              </w:rPr>
              <w:t xml:space="preserve">Technical</w:t>
            </w:r>
          </w:p>
        </w:tc>
        <w:tc>
          <w:tcPr/>
          <w:p>
            <w:pPr>
              <w:pStyle w:val="Compact"/>
              <w:jc w:val="left"/>
            </w:pPr>
            <w:r>
              <w:t xml:space="preserve">M-Pesa API downtime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Implement retry logic, queue-based processing, graceful degradation</w:t>
            </w:r>
          </w:p>
        </w:tc>
      </w:tr>
      <w:tr>
        <w:tc>
          <w:tcPr/>
          <w:p>
            <w:pPr>
              <w:pStyle w:val="Compact"/>
              <w:jc w:val="left"/>
            </w:pPr>
            <w:r>
              <w:rPr>
                <w:b/>
                <w:bCs/>
              </w:rPr>
              <w:t xml:space="preserve">Technical</w:t>
            </w:r>
          </w:p>
        </w:tc>
        <w:tc>
          <w:tcPr/>
          <w:p>
            <w:pPr>
              <w:pStyle w:val="Compact"/>
              <w:jc w:val="left"/>
            </w:pPr>
            <w:r>
              <w:t xml:space="preserve">Model bias discovered post-launch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Monthly bias audits; FairXGBoost training; diverse training data; appeal mechanism</w:t>
            </w:r>
          </w:p>
        </w:tc>
      </w:tr>
      <w:tr>
        <w:tc>
          <w:tcPr/>
          <w:p>
            <w:pPr>
              <w:pStyle w:val="Compact"/>
              <w:jc w:val="left"/>
            </w:pPr>
            <w:r>
              <w:rPr>
                <w:b/>
                <w:bCs/>
              </w:rPr>
              <w:t xml:space="preserve">Market</w:t>
            </w:r>
          </w:p>
        </w:tc>
        <w:tc>
          <w:tcPr/>
          <w:p>
            <w:pPr>
              <w:pStyle w:val="Compact"/>
              <w:jc w:val="left"/>
            </w:pPr>
            <w:r>
              <w:t xml:space="preserve">User adoption slower than projected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Chama-first viral strategy; community agent network; iterate based on user feedback</w:t>
            </w:r>
          </w:p>
        </w:tc>
      </w:tr>
      <w:tr>
        <w:tc>
          <w:tcPr/>
          <w:p>
            <w:pPr>
              <w:pStyle w:val="Compact"/>
              <w:jc w:val="left"/>
            </w:pPr>
            <w:r>
              <w:rPr>
                <w:b/>
                <w:bCs/>
              </w:rPr>
              <w:t xml:space="preserve">Market</w:t>
            </w:r>
          </w:p>
        </w:tc>
        <w:tc>
          <w:tcPr/>
          <w:p>
            <w:pPr>
              <w:pStyle w:val="Compact"/>
              <w:jc w:val="left"/>
            </w:pPr>
            <w:r>
              <w:t xml:space="preserve">Competitor launches similar product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Data network effects create moat; continuous innovation; partnership lock-in</w:t>
            </w:r>
          </w:p>
        </w:tc>
      </w:tr>
      <w:tr>
        <w:tc>
          <w:tcPr/>
          <w:p>
            <w:pPr>
              <w:pStyle w:val="Compact"/>
              <w:jc w:val="left"/>
            </w:pPr>
            <w:r>
              <w:rPr>
                <w:b/>
                <w:bCs/>
              </w:rPr>
              <w:t xml:space="preserve">Financial</w:t>
            </w:r>
          </w:p>
        </w:tc>
        <w:tc>
          <w:tcPr/>
          <w:p>
            <w:pPr>
              <w:pStyle w:val="Compact"/>
              <w:jc w:val="left"/>
            </w:pPr>
            <w:r>
              <w:t xml:space="preserve">Default rates exceed projections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Conservative initial lending; Trust Score calibration; chama cross-guarantees; portfolio diversification</w:t>
            </w:r>
          </w:p>
        </w:tc>
      </w:tr>
      <w:tr>
        <w:tc>
          <w:tcPr/>
          <w:p>
            <w:pPr>
              <w:pStyle w:val="Compact"/>
              <w:jc w:val="left"/>
            </w:pPr>
            <w:r>
              <w:rPr>
                <w:b/>
                <w:bCs/>
              </w:rPr>
              <w:t xml:space="preserve">Operational</w:t>
            </w:r>
          </w:p>
        </w:tc>
        <w:tc>
          <w:tcPr/>
          <w:p>
            <w:pPr>
              <w:pStyle w:val="Compact"/>
              <w:jc w:val="left"/>
            </w:pPr>
            <w:r>
              <w:t xml:space="preserve">Key person dependency (founder)</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Document all systems; hire Tanzania country manager; build engineering team</w:t>
            </w:r>
          </w:p>
        </w:tc>
      </w:tr>
      <w:tr>
        <w:tc>
          <w:tcPr/>
          <w:p>
            <w:pPr>
              <w:pStyle w:val="Compact"/>
              <w:jc w:val="left"/>
            </w:pPr>
            <w:r>
              <w:rPr>
                <w:b/>
                <w:bCs/>
              </w:rPr>
              <w:t xml:space="preserve">Security</w:t>
            </w:r>
          </w:p>
        </w:tc>
        <w:tc>
          <w:tcPr/>
          <w:p>
            <w:pPr>
              <w:pStyle w:val="Compact"/>
              <w:jc w:val="left"/>
            </w:pPr>
            <w:r>
              <w:t xml:space="preserve">Data breach or fraud attack</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AES-256 encryption, penetration testing, SOC 2 compliance roadmap, incident response plan</w:t>
            </w:r>
          </w:p>
        </w:tc>
      </w:tr>
    </w:tbl>
    <w:p>
      <w:r>
        <w:pict>
          <v:rect style="width:0;height:1.5pt" o:hralign="center" o:hrstd="t" o:hr="t"/>
        </w:pict>
      </w:r>
    </w:p>
    <w:bookmarkEnd w:id="77"/>
    <w:bookmarkStart w:id="84" w:name="appendices"/>
    <w:p>
      <w:pPr>
        <w:pStyle w:val="2"/>
      </w:pPr>
      <w:r>
        <w:t xml:space="preserve">12. APPENDICES</w:t>
      </w:r>
    </w:p>
    <w:bookmarkStart w:id="78" w:name="appendix-a-glossary-of-terms"/>
    <w:p>
      <w:pPr>
        <w:pStyle w:val="3"/>
      </w:pPr>
      <w:r>
        <w:t xml:space="preserve">Appendix A: Glossary of Terms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AUC-ROC</w:t>
            </w:r>
          </w:p>
        </w:tc>
        <w:tc>
          <w:tcPr/>
          <w:p>
            <w:pPr>
              <w:pStyle w:val="Compact"/>
              <w:jc w:val="left"/>
            </w:pPr>
            <w:r>
              <w:t xml:space="preserve">Area Under the Receiver Operating Characteristic curve; measures model discrimination ability</w:t>
            </w:r>
          </w:p>
        </w:tc>
      </w:tr>
      <w:tr>
        <w:tc>
          <w:tcPr/>
          <w:p>
            <w:pPr>
              <w:pStyle w:val="Compact"/>
              <w:jc w:val="left"/>
            </w:pPr>
            <w:r>
              <w:rPr>
                <w:b/>
                <w:bCs/>
              </w:rPr>
              <w:t xml:space="preserve">CAC</w:t>
            </w:r>
          </w:p>
        </w:tc>
        <w:tc>
          <w:tcPr/>
          <w:p>
            <w:pPr>
              <w:pStyle w:val="Compact"/>
              <w:jc w:val="left"/>
            </w:pPr>
            <w:r>
              <w:t xml:space="preserve">Customer Acquisition Cost</w:t>
            </w:r>
          </w:p>
        </w:tc>
      </w:tr>
      <w:tr>
        <w:tc>
          <w:tcPr/>
          <w:p>
            <w:pPr>
              <w:pStyle w:val="Compact"/>
              <w:jc w:val="left"/>
            </w:pPr>
            <w:r>
              <w:rPr>
                <w:b/>
                <w:bCs/>
              </w:rPr>
              <w:t xml:space="preserve">CBK</w:t>
            </w:r>
          </w:p>
        </w:tc>
        <w:tc>
          <w:tcPr/>
          <w:p>
            <w:pPr>
              <w:pStyle w:val="Compact"/>
              <w:jc w:val="left"/>
            </w:pPr>
            <w:r>
              <w:t xml:space="preserve">Central Bank of Kenya</w:t>
            </w:r>
          </w:p>
        </w:tc>
      </w:tr>
      <w:tr>
        <w:tc>
          <w:tcPr/>
          <w:p>
            <w:pPr>
              <w:pStyle w:val="Compact"/>
              <w:jc w:val="left"/>
            </w:pPr>
            <w:r>
              <w:rPr>
                <w:b/>
                <w:bCs/>
              </w:rPr>
              <w:t xml:space="preserve">CRB</w:t>
            </w:r>
          </w:p>
        </w:tc>
        <w:tc>
          <w:tcPr/>
          <w:p>
            <w:pPr>
              <w:pStyle w:val="Compact"/>
              <w:jc w:val="left"/>
            </w:pPr>
            <w:r>
              <w:t xml:space="preserve">Credit Reference Bureau</w:t>
            </w:r>
          </w:p>
        </w:tc>
      </w:tr>
      <w:tr>
        <w:tc>
          <w:tcPr/>
          <w:p>
            <w:pPr>
              <w:pStyle w:val="Compact"/>
              <w:jc w:val="left"/>
            </w:pPr>
            <w:r>
              <w:rPr>
                <w:b/>
                <w:bCs/>
              </w:rPr>
              <w:t xml:space="preserve">Daraja API</w:t>
            </w:r>
          </w:p>
        </w:tc>
        <w:tc>
          <w:tcPr/>
          <w:p>
            <w:pPr>
              <w:pStyle w:val="Compact"/>
              <w:jc w:val="left"/>
            </w:pPr>
            <w:r>
              <w:t xml:space="preserve">Safaricom’s M-Pesa API platform</w:t>
            </w:r>
          </w:p>
        </w:tc>
      </w:tr>
      <w:tr>
        <w:tc>
          <w:tcPr/>
          <w:p>
            <w:pPr>
              <w:pStyle w:val="Compact"/>
              <w:jc w:val="left"/>
            </w:pPr>
            <w:r>
              <w:rPr>
                <w:b/>
                <w:bCs/>
              </w:rPr>
              <w:t xml:space="preserve">FICO Score</w:t>
            </w:r>
          </w:p>
        </w:tc>
        <w:tc>
          <w:tcPr/>
          <w:p>
            <w:pPr>
              <w:pStyle w:val="Compact"/>
              <w:jc w:val="left"/>
            </w:pPr>
            <w:r>
              <w:t xml:space="preserve">Traditional US credit score (300-850 range)</w:t>
            </w:r>
          </w:p>
        </w:tc>
      </w:tr>
      <w:tr>
        <w:tc>
          <w:tcPr/>
          <w:p>
            <w:pPr>
              <w:pStyle w:val="Compact"/>
              <w:jc w:val="left"/>
            </w:pPr>
            <w:r>
              <w:rPr>
                <w:b/>
                <w:bCs/>
              </w:rPr>
              <w:t xml:space="preserve">GMV</w:t>
            </w:r>
          </w:p>
        </w:tc>
        <w:tc>
          <w:tcPr/>
          <w:p>
            <w:pPr>
              <w:pStyle w:val="Compact"/>
              <w:jc w:val="left"/>
            </w:pPr>
            <w:r>
              <w:t xml:space="preserve">Gross Merchandise Value</w:t>
            </w:r>
          </w:p>
        </w:tc>
      </w:tr>
      <w:tr>
        <w:tc>
          <w:tcPr/>
          <w:p>
            <w:pPr>
              <w:pStyle w:val="Compact"/>
              <w:jc w:val="left"/>
            </w:pPr>
            <w:r>
              <w:rPr>
                <w:b/>
                <w:bCs/>
              </w:rPr>
              <w:t xml:space="preserve">KYC</w:t>
            </w:r>
          </w:p>
        </w:tc>
        <w:tc>
          <w:tcPr/>
          <w:p>
            <w:pPr>
              <w:pStyle w:val="Compact"/>
              <w:jc w:val="left"/>
            </w:pPr>
            <w:r>
              <w:t xml:space="preserve">Know Your Customer (identity verification)</w:t>
            </w:r>
          </w:p>
        </w:tc>
      </w:tr>
      <w:tr>
        <w:tc>
          <w:tcPr/>
          <w:p>
            <w:pPr>
              <w:pStyle w:val="Compact"/>
              <w:jc w:val="left"/>
            </w:pPr>
            <w:r>
              <w:rPr>
                <w:b/>
                <w:bCs/>
              </w:rPr>
              <w:t xml:space="preserve">LTV</w:t>
            </w:r>
          </w:p>
        </w:tc>
        <w:tc>
          <w:tcPr/>
          <w:p>
            <w:pPr>
              <w:pStyle w:val="Compact"/>
              <w:jc w:val="left"/>
            </w:pPr>
            <w:r>
              <w:t xml:space="preserve">Lifetime Value</w:t>
            </w:r>
          </w:p>
        </w:tc>
      </w:tr>
      <w:tr>
        <w:tc>
          <w:tcPr/>
          <w:p>
            <w:pPr>
              <w:pStyle w:val="Compact"/>
              <w:jc w:val="left"/>
            </w:pPr>
            <w:r>
              <w:rPr>
                <w:b/>
                <w:bCs/>
              </w:rPr>
              <w:t xml:space="preserve">M-Pesa</w:t>
            </w:r>
          </w:p>
        </w:tc>
        <w:tc>
          <w:tcPr/>
          <w:p>
            <w:pPr>
              <w:pStyle w:val="Compact"/>
              <w:jc w:val="left"/>
            </w:pPr>
            <w:r>
              <w:t xml:space="preserve">Mobile money service (Safaricom/Vodacom)</w:t>
            </w:r>
          </w:p>
        </w:tc>
      </w:tr>
      <w:tr>
        <w:tc>
          <w:tcPr/>
          <w:p>
            <w:pPr>
              <w:pStyle w:val="Compact"/>
              <w:jc w:val="left"/>
            </w:pPr>
            <w:r>
              <w:rPr>
                <w:b/>
                <w:bCs/>
              </w:rPr>
              <w:t xml:space="preserve">ROSCA</w:t>
            </w:r>
          </w:p>
        </w:tc>
        <w:tc>
          <w:tcPr/>
          <w:p>
            <w:pPr>
              <w:pStyle w:val="Compact"/>
              <w:jc w:val="left"/>
            </w:pPr>
            <w:r>
              <w:t xml:space="preserve">Rotating Savings and Credit Association (chama/vikoba/upatu)</w:t>
            </w:r>
          </w:p>
        </w:tc>
      </w:tr>
      <w:tr>
        <w:tc>
          <w:tcPr/>
          <w:p>
            <w:pPr>
              <w:pStyle w:val="Compact"/>
              <w:jc w:val="left"/>
            </w:pPr>
            <w:r>
              <w:rPr>
                <w:b/>
                <w:bCs/>
              </w:rPr>
              <w:t xml:space="preserve">SHAP</w:t>
            </w:r>
          </w:p>
        </w:tc>
        <w:tc>
          <w:tcPr/>
          <w:p>
            <w:pPr>
              <w:pStyle w:val="Compact"/>
              <w:jc w:val="left"/>
            </w:pPr>
            <w:r>
              <w:t xml:space="preserve">SHapley Additive exPlanations; model interpretability technique</w:t>
            </w:r>
          </w:p>
        </w:tc>
      </w:tr>
      <w:tr>
        <w:tc>
          <w:tcPr/>
          <w:p>
            <w:pPr>
              <w:pStyle w:val="Compact"/>
              <w:jc w:val="left"/>
            </w:pPr>
            <w:r>
              <w:rPr>
                <w:b/>
                <w:bCs/>
              </w:rPr>
              <w:t xml:space="preserve">STK Push</w:t>
            </w:r>
          </w:p>
        </w:tc>
        <w:tc>
          <w:tcPr/>
          <w:p>
            <w:pPr>
              <w:pStyle w:val="Compact"/>
              <w:jc w:val="left"/>
            </w:pPr>
            <w:r>
              <w:t xml:space="preserve">Sim Toolkit Push; M-Pesa payment initiation method</w:t>
            </w:r>
          </w:p>
        </w:tc>
      </w:tr>
      <w:tr>
        <w:tc>
          <w:tcPr/>
          <w:p>
            <w:pPr>
              <w:pStyle w:val="Compact"/>
              <w:jc w:val="left"/>
            </w:pPr>
            <w:r>
              <w:rPr>
                <w:b/>
                <w:bCs/>
              </w:rPr>
              <w:t xml:space="preserve">XGBoost</w:t>
            </w:r>
          </w:p>
        </w:tc>
        <w:tc>
          <w:tcPr/>
          <w:p>
            <w:pPr>
              <w:pStyle w:val="Compact"/>
              <w:jc w:val="left"/>
            </w:pPr>
            <w:r>
              <w:t xml:space="preserve">eXtreme Gradient Boosting; machine learning algorithm</w:t>
            </w:r>
          </w:p>
        </w:tc>
      </w:tr>
    </w:tbl>
    <w:bookmarkEnd w:id="78"/>
    <w:bookmarkStart w:id="79" w:name="appendix-b-academic-references"/>
    <w:p>
      <w:pPr>
        <w:pStyle w:val="3"/>
      </w:pPr>
      <w:r>
        <w:t xml:space="preserve">Appendix B: Academic References</w:t>
      </w:r>
    </w:p>
    <w:p>
      <w:pPr>
        <w:pStyle w:val="FirstParagraph"/>
      </w:pPr>
      <w:r>
        <w:t xml:space="preserve">[Comprehensive bibliography of 18+ academic citations from the Trust Engine White Paper]</w:t>
      </w:r>
    </w:p>
    <w:bookmarkEnd w:id="79"/>
    <w:bookmarkStart w:id="80" w:name="appendix-c-competitive-analysis-matrix"/>
    <w:p>
      <w:pPr>
        <w:pStyle w:val="3"/>
      </w:pPr>
      <w:r>
        <w:t xml:space="preserve">Appendix C: Competitive Analysis Matrix</w:t>
      </w:r>
    </w:p>
    <w:p>
      <w:pPr>
        <w:pStyle w:val="FirstParagraph"/>
      </w:pPr>
      <w:r>
        <w:t xml:space="preserve">[Detailed comparison table of TWENDE vs. M-Shwari, Branch, Tala, Chamasoft, Pula, and other competitors across 15+ dimensions]</w:t>
      </w:r>
    </w:p>
    <w:bookmarkEnd w:id="80"/>
    <w:bookmarkStart w:id="81" w:name="X1c260d571dd02427aa9ff4fb321bbb6478b6785"/>
    <w:p>
      <w:pPr>
        <w:pStyle w:val="3"/>
      </w:pPr>
      <w:r>
        <w:t xml:space="preserve">Appendix D: Technical Architecture Diagrams</w:t>
      </w:r>
    </w:p>
    <w:p>
      <w:pPr>
        <w:pStyle w:val="FirstParagraph"/>
      </w:pPr>
      <w:r>
        <w:t xml:space="preserve">[High-resolution system architecture, data flow, and deployment diagrams]</w:t>
      </w:r>
    </w:p>
    <w:bookmarkEnd w:id="81"/>
    <w:bookmarkStart w:id="82" w:name="appendix-e-financial-model-detailed"/>
    <w:p>
      <w:pPr>
        <w:pStyle w:val="3"/>
      </w:pPr>
      <w:r>
        <w:t xml:space="preserve">Appendix E: Financial Model (Detailed)</w:t>
      </w:r>
    </w:p>
    <w:p>
      <w:pPr>
        <w:pStyle w:val="FirstParagraph"/>
      </w:pPr>
      <w:r>
        <w:t xml:space="preserve">[3-year P&amp;L, cash flow, balance sheet projections with monthly granularity]</w:t>
      </w:r>
    </w:p>
    <w:bookmarkEnd w:id="82"/>
    <w:bookmarkStart w:id="83" w:name="Xe6b06ffd036dda44d4ed30e2753be72dd426079"/>
    <w:p>
      <w:pPr>
        <w:pStyle w:val="3"/>
      </w:pPr>
      <w:r>
        <w:t xml:space="preserve">Appendix F: Regulatory Compliance Checklist</w:t>
      </w:r>
    </w:p>
    <w:p>
      <w:pPr>
        <w:pStyle w:val="FirstParagraph"/>
      </w:pPr>
      <w:r>
        <w:t xml:space="preserve">[Per-country compliance matrices for Tanzania, Kenya, Uganda, and Rwanda]</w:t>
      </w:r>
    </w:p>
    <w:p>
      <w:r>
        <w:pict>
          <v:rect style="width:0;height:1.5pt" o:hralign="center" o:hrstd="t" o:hr="t"/>
        </w:pict>
      </w:r>
    </w:p>
    <w:p>
      <w:pPr>
        <w:pStyle w:val="FirstParagraph"/>
      </w:pPr>
      <w:r>
        <w:rPr>
          <w:b/>
          <w:bCs/>
        </w:rPr>
        <w:t xml:space="preserve">Document prepared by Eddy Mkwambe, Founder &amp; Chief Architect, Mpingo Systems LLC</w:t>
      </w:r>
    </w:p>
    <w:p>
      <w:pPr>
        <w:pStyle w:val="a0"/>
      </w:pPr>
      <w:r>
        <w:rPr>
          <w:b/>
          <w:bCs/>
        </w:rPr>
        <w:t xml:space="preserve">Charlotte, North Carolina, USA | Dar es Salaam, Tanzania</w:t>
      </w:r>
    </w:p>
    <w:p>
      <w:pPr>
        <w:pStyle w:val="a0"/>
      </w:pPr>
      <w:r>
        <w:rPr>
          <w:b/>
          <w:bCs/>
        </w:rPr>
        <w:t xml:space="preserve">eddy@mpingo.ai | https://mpingo.ai | https://twende-app.vercel.app</w:t>
      </w:r>
    </w:p>
    <w:p>
      <w:pPr>
        <w:pStyle w:val="a0"/>
      </w:pPr>
      <w:r>
        <w:rPr>
          <w:b/>
          <w:bCs/>
        </w:rPr>
        <w:t xml:space="preserve">MS Strategic Analytics, Brandeis University | MS Mathematical Modeling, University of Dar es Salaam</w:t>
      </w:r>
    </w:p>
    <w:p>
      <w:r>
        <w:pict>
          <v:rect style="width:0;height:1.5pt" o:hralign="center" o:hrstd="t" o:hr="t"/>
        </w:pict>
      </w:r>
    </w:p>
    <w:p>
      <w:pPr>
        <w:pStyle w:val="FirstParagraph"/>
      </w:pPr>
      <w:r>
        <w:rPr>
          <w:i/>
          <w:iCs/>
        </w:rPr>
        <w:t xml:space="preserve">This document is confidential and proprietary to Mpingo Systems LLC. Unauthorized distribution is prohibited.</w:t>
      </w:r>
    </w:p>
    <w:bookmarkEnd w:id="83"/>
    <w:bookmarkEnd w:id="84"/>
    <w:bookmarkEnd w:id="8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2026-07-04T10:37:00Z</dcterms:created>
  <dcterms:modified xsi:type="dcterms:W3CDTF">2026-07-04T10:37:00Z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u2og3bpakbmhp2h8r0-19f2067c-a602-8942-8000-0924d5b981b8-20260704103700","ReservedCode1":"","ContentPropagator":"001191110108MACG2KBH8F20000","PropagateID":"d1u2og3bpakbmhp2h8r0-19f2067c-a602-8942-8000-0924d5b981b8-20260704103700","ReservedCode2":""}</vt:lpwstr>
  </property>
</Properties>
</file>