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A47" w14:textId="0B94718F" w:rsidR="00251D65" w:rsidRPr="00E61A8F" w:rsidRDefault="00044A61" w:rsidP="00E61A8F">
      <w:pPr>
        <w:rPr>
          <w:rFonts w:ascii="Avenir Light" w:hAnsi="Avenir Light"/>
          <w:sz w:val="20"/>
          <w:szCs w:val="20"/>
        </w:rPr>
      </w:pPr>
      <w:r w:rsidRPr="00E61A8F">
        <w:rPr>
          <w:rFonts w:ascii="Avenir Light" w:hAnsi="Avenir Light"/>
          <w:sz w:val="20"/>
          <w:szCs w:val="20"/>
        </w:rPr>
        <w:t xml:space="preserve">This figure shows estimates of fishery subsidies in U.S. dollars for the selected state, where different colors represent different subsidy types. Subsidy estimates for all states were sourced from Rashid Sumaila at the University of British Columbia (estimates are updates of those found in </w:t>
      </w:r>
      <w:hyperlink r:id="rId5" w:history="1">
        <w:r w:rsidRPr="00E61A8F">
          <w:rPr>
            <w:rStyle w:val="Hyperlink"/>
            <w:rFonts w:ascii="Avenir Light" w:hAnsi="Avenir Light" w:cs="Arial"/>
            <w:sz w:val="20"/>
            <w:szCs w:val="20"/>
          </w:rPr>
          <w:t>Sumaila et al. (2016)</w:t>
        </w:r>
      </w:hyperlink>
      <w:r w:rsidR="0037316E" w:rsidRPr="00E61A8F">
        <w:rPr>
          <w:rFonts w:ascii="Avenir Light" w:hAnsi="Avenir Light"/>
          <w:sz w:val="20"/>
          <w:szCs w:val="20"/>
        </w:rPr>
        <w:t>).</w:t>
      </w:r>
      <w:r w:rsidRPr="00E61A8F">
        <w:rPr>
          <w:rFonts w:ascii="Avenir Light" w:hAnsi="Avenir Light"/>
          <w:sz w:val="20"/>
          <w:szCs w:val="20"/>
        </w:rPr>
        <w:t xml:space="preserve"> For OECD Members (and selected non-Members), estimates from the </w:t>
      </w:r>
      <w:hyperlink r:id="rId6" w:anchor="_ga=2.130969805.357285040.1560204562-277521006.1559787880" w:history="1">
        <w:r w:rsidR="008E51DE" w:rsidRPr="00E61A8F">
          <w:rPr>
            <w:rStyle w:val="Hyperlink"/>
            <w:rFonts w:ascii="Avenir Light" w:hAnsi="Avenir Light" w:cs="Arial"/>
            <w:sz w:val="20"/>
            <w:szCs w:val="20"/>
          </w:rPr>
          <w:t>OECD fisheries support estimate (FSE) database</w:t>
        </w:r>
      </w:hyperlink>
      <w:r w:rsidRPr="00E61A8F">
        <w:rPr>
          <w:rFonts w:ascii="Avenir Light" w:hAnsi="Avenir Light"/>
          <w:sz w:val="20"/>
          <w:szCs w:val="20"/>
        </w:rPr>
        <w:t xml:space="preserve"> are also shown</w:t>
      </w:r>
      <w:r w:rsidR="001360B9" w:rsidRPr="00E61A8F">
        <w:rPr>
          <w:rFonts w:ascii="Avenir Light" w:hAnsi="Avenir Light"/>
          <w:sz w:val="20"/>
          <w:szCs w:val="20"/>
        </w:rPr>
        <w:t xml:space="preserve">. </w:t>
      </w:r>
      <w:r w:rsidR="007A730F" w:rsidRPr="00E61A8F">
        <w:rPr>
          <w:rFonts w:ascii="Avenir Light" w:hAnsi="Avenir Light"/>
          <w:sz w:val="20"/>
          <w:szCs w:val="20"/>
        </w:rPr>
        <w:t xml:space="preserve">Negative values indicate cost recovery charges. These are generally charges levied on fishers, where the government or fisheries agency is the recipient of the transfer. </w:t>
      </w:r>
      <w:r w:rsidRPr="00E61A8F">
        <w:rPr>
          <w:rFonts w:ascii="Avenir Light" w:hAnsi="Avenir Light"/>
          <w:sz w:val="20"/>
          <w:szCs w:val="20"/>
        </w:rPr>
        <w:t>Hover your mouse over each bar on the graph to learn more.</w:t>
      </w:r>
      <w:bookmarkStart w:id="0" w:name="_GoBack"/>
      <w:bookmarkEnd w:id="0"/>
    </w:p>
    <w:sectPr w:rsidR="00251D65" w:rsidRPr="00E61A8F"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37316E"/>
    <w:rsid w:val="003E1C70"/>
    <w:rsid w:val="00474DD8"/>
    <w:rsid w:val="00494AAF"/>
    <w:rsid w:val="005D7046"/>
    <w:rsid w:val="00646E1B"/>
    <w:rsid w:val="00661F6B"/>
    <w:rsid w:val="00676C1A"/>
    <w:rsid w:val="007A730F"/>
    <w:rsid w:val="00886014"/>
    <w:rsid w:val="008E51DE"/>
    <w:rsid w:val="009430F1"/>
    <w:rsid w:val="00947ED8"/>
    <w:rsid w:val="00A96954"/>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oecd.org/Index.aspx?DataSetCode=FISH_FSE" TargetMode="External"/><Relationship Id="rId5" Type="http://schemas.openxmlformats.org/officeDocument/2006/relationships/hyperlink" Target="https://s3-us-west-2.amazonaws.com/legacy.seaaroundus/researcher/dpauly/PDF/2016/Global+fisheries+subsidiesan+updated+estimat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2020-09-14T20:30:00Z</dcterms:created>
  <dcterms:modified xsi:type="dcterms:W3CDTF">2020-09-14T20:30:00Z</dcterms:modified>
</cp:coreProperties>
</file>