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20392" w14:textId="1BEA5D9A" w:rsidR="00F55F43" w:rsidRPr="00456AB1" w:rsidRDefault="00F55F43" w:rsidP="00F55F43">
      <w:pPr>
        <w:pBdr>
          <w:bottom w:val="single" w:sz="12" w:space="1" w:color="FFFFFF" w:themeColor="background1"/>
        </w:pBdr>
        <w:rPr>
          <w:rFonts w:ascii="Avenir Light" w:hAnsi="Avenir Light" w:cs="Arial"/>
          <w:b/>
        </w:rPr>
      </w:pPr>
      <w:r>
        <w:rPr>
          <w:rFonts w:ascii="Avenir Light" w:hAnsi="Avenir Light" w:cs="Arial"/>
          <w:b/>
        </w:rPr>
        <w:t>About this Tool</w:t>
      </w:r>
    </w:p>
    <w:p w14:paraId="0D4C9EF7" w14:textId="1CDD5718" w:rsidR="00474DD8" w:rsidRPr="00456AB1" w:rsidRDefault="00474DD8" w:rsidP="003E1C70">
      <w:pPr>
        <w:spacing w:before="120"/>
        <w:rPr>
          <w:rFonts w:ascii="Avenir Light" w:hAnsi="Avenir Light" w:cs="Arial"/>
          <w:sz w:val="20"/>
          <w:szCs w:val="20"/>
        </w:rPr>
      </w:pPr>
      <w:proofErr w:type="spellStart"/>
      <w:r w:rsidRPr="00456AB1">
        <w:rPr>
          <w:rFonts w:ascii="Avenir Light" w:hAnsi="Avenir Light" w:cs="Arial"/>
          <w:sz w:val="20"/>
          <w:szCs w:val="20"/>
        </w:rPr>
        <w:t>SubsidyExplorer</w:t>
      </w:r>
      <w:proofErr w:type="spellEnd"/>
      <w:r w:rsidRPr="00456AB1">
        <w:rPr>
          <w:rFonts w:ascii="Avenir Light" w:hAnsi="Avenir Light" w:cs="Arial"/>
          <w:sz w:val="20"/>
          <w:szCs w:val="20"/>
        </w:rPr>
        <w:t xml:space="preserve"> is an online, interactive toolkit that allows users to</w:t>
      </w:r>
      <w:r w:rsidR="00835405" w:rsidRPr="00456AB1">
        <w:rPr>
          <w:rFonts w:ascii="Avenir Light" w:hAnsi="Avenir Light" w:cs="Arial"/>
          <w:sz w:val="20"/>
          <w:szCs w:val="20"/>
        </w:rPr>
        <w:t xml:space="preserve"> learn more about fisheries subsidies and to explore potential </w:t>
      </w:r>
      <w:r w:rsidRPr="00456AB1">
        <w:rPr>
          <w:rFonts w:ascii="Avenir Light" w:hAnsi="Avenir Light" w:cs="Arial"/>
          <w:sz w:val="20"/>
          <w:szCs w:val="20"/>
        </w:rPr>
        <w:t xml:space="preserve">biological and economic tradeoffs </w:t>
      </w:r>
      <w:r w:rsidR="00835405" w:rsidRPr="00456AB1">
        <w:rPr>
          <w:rFonts w:ascii="Avenir Light" w:hAnsi="Avenir Light" w:cs="Arial"/>
          <w:sz w:val="20"/>
          <w:szCs w:val="20"/>
        </w:rPr>
        <w:t>associated with subsidy reform. This tool was created to support the negotiations currently underway at the World Trade Organization (WTO)</w:t>
      </w:r>
      <w:r w:rsidR="00F55F43">
        <w:rPr>
          <w:rFonts w:ascii="Avenir Light" w:hAnsi="Avenir Light" w:cs="Arial"/>
          <w:sz w:val="20"/>
          <w:szCs w:val="20"/>
        </w:rPr>
        <w:t xml:space="preserve">. </w:t>
      </w:r>
      <w:proofErr w:type="spellStart"/>
      <w:r w:rsidR="001B314B" w:rsidRPr="00456AB1">
        <w:rPr>
          <w:rFonts w:ascii="Avenir Light" w:hAnsi="Avenir Light" w:cs="Arial"/>
          <w:sz w:val="20"/>
          <w:szCs w:val="20"/>
        </w:rPr>
        <w:t>SubsidyExplorer</w:t>
      </w:r>
      <w:proofErr w:type="spellEnd"/>
      <w:r w:rsidR="001B314B" w:rsidRPr="00456AB1">
        <w:rPr>
          <w:rFonts w:ascii="Avenir Light" w:hAnsi="Avenir Light" w:cs="Arial"/>
          <w:sz w:val="20"/>
          <w:szCs w:val="20"/>
        </w:rPr>
        <w:t xml:space="preserve"> is first and foremost intended to be an educational tool. While the hope is that the insights </w:t>
      </w:r>
      <w:r w:rsidR="001B314B">
        <w:rPr>
          <w:rFonts w:ascii="Avenir Light" w:hAnsi="Avenir Light" w:cs="Arial"/>
          <w:sz w:val="20"/>
          <w:szCs w:val="20"/>
        </w:rPr>
        <w:t>gleaned from</w:t>
      </w:r>
      <w:r w:rsidR="001B314B" w:rsidRPr="00456AB1">
        <w:rPr>
          <w:rFonts w:ascii="Avenir Light" w:hAnsi="Avenir Light" w:cs="Arial"/>
          <w:sz w:val="20"/>
          <w:szCs w:val="20"/>
        </w:rPr>
        <w:t xml:space="preserve"> this toolkit may be useful for WTO Members whose fisheries may be directly or indirectly affected by subsidy reform, </w:t>
      </w:r>
      <w:r w:rsidR="001B314B">
        <w:rPr>
          <w:rFonts w:ascii="Avenir Light" w:hAnsi="Avenir Light" w:cs="Arial"/>
          <w:sz w:val="20"/>
          <w:szCs w:val="20"/>
        </w:rPr>
        <w:t>the purpose of this tool is</w:t>
      </w:r>
      <w:r w:rsidR="001B314B" w:rsidRPr="00456AB1">
        <w:rPr>
          <w:rFonts w:ascii="Avenir Light" w:hAnsi="Avenir Light" w:cs="Arial"/>
          <w:sz w:val="20"/>
          <w:szCs w:val="20"/>
        </w:rPr>
        <w:t xml:space="preserve"> not </w:t>
      </w:r>
      <w:r w:rsidR="001B314B">
        <w:rPr>
          <w:rFonts w:ascii="Avenir Light" w:hAnsi="Avenir Light" w:cs="Arial"/>
          <w:sz w:val="20"/>
          <w:szCs w:val="20"/>
        </w:rPr>
        <w:t xml:space="preserve">to </w:t>
      </w:r>
      <w:r w:rsidR="001B314B" w:rsidRPr="00456AB1">
        <w:rPr>
          <w:rFonts w:ascii="Avenir Light" w:hAnsi="Avenir Light" w:cs="Arial"/>
          <w:sz w:val="20"/>
          <w:szCs w:val="20"/>
        </w:rPr>
        <w:t>make judgments or suggestions regarding a “best” course of action for negotiators.</w:t>
      </w:r>
    </w:p>
    <w:p w14:paraId="3DF7E36D" w14:textId="2459F5DC" w:rsidR="001B314B" w:rsidRDefault="00474DD8" w:rsidP="00B02A16">
      <w:pPr>
        <w:spacing w:before="120"/>
        <w:rPr>
          <w:rFonts w:ascii="Avenir Light" w:hAnsi="Avenir Light" w:cs="Arial"/>
          <w:sz w:val="20"/>
          <w:szCs w:val="20"/>
        </w:rPr>
      </w:pPr>
      <w:r w:rsidRPr="00456AB1">
        <w:rPr>
          <w:rFonts w:ascii="Avenir Light" w:hAnsi="Avenir Light" w:cs="Arial"/>
          <w:sz w:val="20"/>
          <w:szCs w:val="20"/>
        </w:rPr>
        <w:t xml:space="preserve">SubsidyExplorer is organized into two sections. </w:t>
      </w:r>
      <w:r w:rsidR="00C94DBF" w:rsidRPr="00456AB1">
        <w:rPr>
          <w:rFonts w:ascii="Avenir Light" w:hAnsi="Avenir Light" w:cs="Arial"/>
          <w:sz w:val="20"/>
          <w:szCs w:val="20"/>
        </w:rPr>
        <w:t xml:space="preserve">The </w:t>
      </w:r>
      <w:r w:rsidR="00F55F43">
        <w:rPr>
          <w:rFonts w:ascii="Avenir Light" w:hAnsi="Avenir Light" w:cs="Arial"/>
          <w:sz w:val="20"/>
          <w:szCs w:val="20"/>
        </w:rPr>
        <w:t>first</w:t>
      </w:r>
      <w:r w:rsidR="00C94DBF" w:rsidRPr="00456AB1">
        <w:rPr>
          <w:rFonts w:ascii="Avenir Light" w:hAnsi="Avenir Light" w:cs="Arial"/>
          <w:sz w:val="20"/>
          <w:szCs w:val="20"/>
        </w:rPr>
        <w:t xml:space="preserve"> section</w:t>
      </w:r>
      <w:r w:rsidRPr="00456AB1">
        <w:rPr>
          <w:rFonts w:ascii="Avenir Light" w:hAnsi="Avenir Light" w:cs="Arial"/>
          <w:sz w:val="20"/>
          <w:szCs w:val="20"/>
        </w:rPr>
        <w:t xml:space="preserve"> allows users to </w:t>
      </w:r>
      <w:r w:rsidR="00F55F43">
        <w:rPr>
          <w:rFonts w:ascii="Avenir Light" w:hAnsi="Avenir Light" w:cs="Arial"/>
          <w:sz w:val="20"/>
          <w:szCs w:val="20"/>
        </w:rPr>
        <w:t xml:space="preserve">explore how fishery catches, stock biomass, and fishing mortality might change in the future under different possible subsidy reform scenarios. In this section, users can choose to explore different WTO Member subsidy reform proposals or to design their own </w:t>
      </w:r>
      <w:r w:rsidR="001B314B">
        <w:rPr>
          <w:rFonts w:ascii="Avenir Light" w:hAnsi="Avenir Light" w:cs="Arial"/>
          <w:sz w:val="20"/>
          <w:szCs w:val="20"/>
        </w:rPr>
        <w:t>policies</w:t>
      </w:r>
      <w:r w:rsidR="00F55F43">
        <w:rPr>
          <w:rFonts w:ascii="Avenir Light" w:hAnsi="Avenir Light" w:cs="Arial"/>
          <w:sz w:val="20"/>
          <w:szCs w:val="20"/>
        </w:rPr>
        <w:t xml:space="preserve">. </w:t>
      </w:r>
      <w:r w:rsidR="001B314B" w:rsidRPr="00456AB1">
        <w:rPr>
          <w:rFonts w:ascii="Avenir Light" w:hAnsi="Avenir Light" w:cs="Arial"/>
          <w:sz w:val="20"/>
          <w:szCs w:val="20"/>
        </w:rPr>
        <w:t xml:space="preserve">The creators of </w:t>
      </w:r>
      <w:proofErr w:type="spellStart"/>
      <w:r w:rsidR="001B314B" w:rsidRPr="00456AB1">
        <w:rPr>
          <w:rFonts w:ascii="Avenir Light" w:hAnsi="Avenir Light" w:cs="Arial"/>
          <w:sz w:val="20"/>
          <w:szCs w:val="20"/>
        </w:rPr>
        <w:t>SubsidyExplorer</w:t>
      </w:r>
      <w:proofErr w:type="spellEnd"/>
      <w:r w:rsidR="001B314B" w:rsidRPr="00456AB1">
        <w:rPr>
          <w:rFonts w:ascii="Avenir Light" w:hAnsi="Avenir Light" w:cs="Arial"/>
          <w:sz w:val="20"/>
          <w:szCs w:val="20"/>
        </w:rPr>
        <w:t xml:space="preserve"> have strived to make the </w:t>
      </w:r>
      <w:r w:rsidR="001B314B">
        <w:rPr>
          <w:rFonts w:ascii="Avenir Light" w:hAnsi="Avenir Light" w:cs="Arial"/>
          <w:sz w:val="20"/>
          <w:szCs w:val="20"/>
        </w:rPr>
        <w:t>policy</w:t>
      </w:r>
      <w:r w:rsidR="001B314B" w:rsidRPr="00456AB1">
        <w:rPr>
          <w:rFonts w:ascii="Avenir Light" w:hAnsi="Avenir Light" w:cs="Arial"/>
          <w:sz w:val="20"/>
          <w:szCs w:val="20"/>
        </w:rPr>
        <w:t xml:space="preserve"> selections included within the </w:t>
      </w:r>
      <w:r w:rsidR="001B314B">
        <w:rPr>
          <w:rFonts w:ascii="Avenir Light" w:hAnsi="Avenir Light" w:cs="Arial"/>
          <w:sz w:val="20"/>
          <w:szCs w:val="20"/>
        </w:rPr>
        <w:t>tool</w:t>
      </w:r>
      <w:r w:rsidR="001B314B" w:rsidRPr="00456AB1">
        <w:rPr>
          <w:rFonts w:ascii="Avenir Light" w:hAnsi="Avenir Light" w:cs="Arial"/>
          <w:sz w:val="20"/>
          <w:szCs w:val="20"/>
        </w:rPr>
        <w:t xml:space="preserve"> as representative as possible of those that have actually been proposed to the WTO. However, in some cases this was not possible, largely due to data limitations, and these omissions are clearly noted where applicable. The presence of an omission in this toolkit does not discount the validity of the corresponding proposal, nor does it mean that it should be given any less consideration. In situations where data limitations could be overcome with reasonable assumptions, users are </w:t>
      </w:r>
      <w:r w:rsidR="001B314B">
        <w:rPr>
          <w:rFonts w:ascii="Avenir Light" w:hAnsi="Avenir Light" w:cs="Arial"/>
          <w:sz w:val="20"/>
          <w:szCs w:val="20"/>
        </w:rPr>
        <w:t>presented</w:t>
      </w:r>
      <w:r w:rsidR="001B314B" w:rsidRPr="00456AB1">
        <w:rPr>
          <w:rFonts w:ascii="Avenir Light" w:hAnsi="Avenir Light" w:cs="Arial"/>
          <w:sz w:val="20"/>
          <w:szCs w:val="20"/>
        </w:rPr>
        <w:t xml:space="preserve"> with this as an option.</w:t>
      </w:r>
    </w:p>
    <w:p w14:paraId="0480B402" w14:textId="69DCA6E2" w:rsidR="00B02A16" w:rsidRPr="00456AB1" w:rsidRDefault="00F55F43" w:rsidP="00B02A16">
      <w:pPr>
        <w:spacing w:before="120"/>
        <w:rPr>
          <w:rFonts w:ascii="Avenir Light" w:hAnsi="Avenir Light" w:cs="Arial"/>
          <w:sz w:val="20"/>
          <w:szCs w:val="20"/>
        </w:rPr>
      </w:pPr>
      <w:r w:rsidRPr="00456AB1">
        <w:rPr>
          <w:rFonts w:ascii="Avenir Light" w:hAnsi="Avenir Light" w:cs="Arial"/>
          <w:sz w:val="20"/>
          <w:szCs w:val="20"/>
        </w:rPr>
        <w:t xml:space="preserve">The </w:t>
      </w:r>
      <w:r>
        <w:rPr>
          <w:rFonts w:ascii="Avenir Light" w:hAnsi="Avenir Light" w:cs="Arial"/>
          <w:sz w:val="20"/>
          <w:szCs w:val="20"/>
        </w:rPr>
        <w:t>second</w:t>
      </w:r>
      <w:r w:rsidRPr="00456AB1">
        <w:rPr>
          <w:rFonts w:ascii="Avenir Light" w:hAnsi="Avenir Light" w:cs="Arial"/>
          <w:sz w:val="20"/>
          <w:szCs w:val="20"/>
        </w:rPr>
        <w:t xml:space="preserve"> section allows users to </w:t>
      </w:r>
      <w:r>
        <w:rPr>
          <w:rFonts w:ascii="Avenir Light" w:hAnsi="Avenir Light" w:cs="Arial"/>
          <w:sz w:val="20"/>
          <w:szCs w:val="20"/>
        </w:rPr>
        <w:t xml:space="preserve">learn more about the global distribution and magnitude of </w:t>
      </w:r>
      <w:r w:rsidRPr="00456AB1">
        <w:rPr>
          <w:rFonts w:ascii="Avenir Light" w:hAnsi="Avenir Light" w:cs="Arial"/>
          <w:sz w:val="20"/>
          <w:szCs w:val="20"/>
        </w:rPr>
        <w:t>fisheries subsidies, learn more about the fisheries sectors of individual countries, compare fishery statistics across countries, and view the global footprint of industrial fishing effort.</w:t>
      </w:r>
    </w:p>
    <w:p w14:paraId="211BF44F" w14:textId="190BD4BF" w:rsidR="00D23B6D" w:rsidRPr="001B314B" w:rsidRDefault="00B02A16" w:rsidP="00DB02E3">
      <w:pPr>
        <w:spacing w:before="120"/>
        <w:rPr>
          <w:rFonts w:ascii="Avenir Light" w:hAnsi="Avenir Light" w:cs="Arial"/>
          <w:b/>
        </w:rPr>
      </w:pPr>
      <w:r w:rsidRPr="00456AB1">
        <w:rPr>
          <w:rFonts w:ascii="Avenir Light" w:hAnsi="Avenir Light" w:cs="Arial"/>
          <w:sz w:val="20"/>
          <w:szCs w:val="20"/>
        </w:rPr>
        <w:t xml:space="preserve">Brief summaries of the data and methods underlying each section are included throughout the toolkit, but users are encouraged to download the complete methodology for more information. </w:t>
      </w:r>
      <w:bookmarkStart w:id="0" w:name="_GoBack"/>
      <w:bookmarkEnd w:id="0"/>
    </w:p>
    <w:sectPr w:rsidR="00D23B6D" w:rsidRPr="001B314B" w:rsidSect="00D60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venir Light">
    <w:panose1 w:val="020B0402020203020204"/>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BEAEF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BAEB87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BA26C2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A40A92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060B2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27EDC5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D687B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5DAD80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A0BF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586962"/>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46"/>
    <w:rsid w:val="00166E91"/>
    <w:rsid w:val="001B314B"/>
    <w:rsid w:val="0023035C"/>
    <w:rsid w:val="00274BA1"/>
    <w:rsid w:val="003B00B0"/>
    <w:rsid w:val="003E1C70"/>
    <w:rsid w:val="00456AB1"/>
    <w:rsid w:val="00474DD8"/>
    <w:rsid w:val="00494AAF"/>
    <w:rsid w:val="004A6B50"/>
    <w:rsid w:val="00584202"/>
    <w:rsid w:val="005D7046"/>
    <w:rsid w:val="00661F6B"/>
    <w:rsid w:val="00835405"/>
    <w:rsid w:val="00886014"/>
    <w:rsid w:val="009430F1"/>
    <w:rsid w:val="00A96954"/>
    <w:rsid w:val="00B02A16"/>
    <w:rsid w:val="00C03F11"/>
    <w:rsid w:val="00C320B2"/>
    <w:rsid w:val="00C94DBF"/>
    <w:rsid w:val="00CB0B0C"/>
    <w:rsid w:val="00CC4DCB"/>
    <w:rsid w:val="00D23B6D"/>
    <w:rsid w:val="00D60543"/>
    <w:rsid w:val="00D8341C"/>
    <w:rsid w:val="00DB02E3"/>
    <w:rsid w:val="00DC5DFE"/>
    <w:rsid w:val="00F55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E5C3"/>
  <w15:chartTrackingRefBased/>
  <w15:docId w15:val="{1E54540B-8699-9F43-A81F-A7DC41EF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30F1"/>
    <w:rPr>
      <w:color w:val="3482B4"/>
      <w:u w:val="none"/>
    </w:rPr>
  </w:style>
  <w:style w:type="character" w:styleId="UnresolvedMention">
    <w:name w:val="Unresolved Mention"/>
    <w:basedOn w:val="DefaultParagraphFont"/>
    <w:uiPriority w:val="99"/>
    <w:rsid w:val="00D23B6D"/>
    <w:rPr>
      <w:color w:val="605E5C"/>
      <w:shd w:val="clear" w:color="auto" w:fill="E1DFDD"/>
    </w:rPr>
  </w:style>
  <w:style w:type="character" w:styleId="FollowedHyperlink">
    <w:name w:val="FollowedHyperlink"/>
    <w:basedOn w:val="DefaultParagraphFont"/>
    <w:uiPriority w:val="99"/>
    <w:semiHidden/>
    <w:unhideWhenUsed/>
    <w:rsid w:val="00A96954"/>
    <w:rPr>
      <w:color w:val="27658C"/>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Millage</dc:creator>
  <cp:keywords/>
  <dc:description/>
  <cp:lastModifiedBy>Kat Millage</cp:lastModifiedBy>
  <cp:revision>5</cp:revision>
  <dcterms:created xsi:type="dcterms:W3CDTF">2020-09-12T01:13:00Z</dcterms:created>
  <dcterms:modified xsi:type="dcterms:W3CDTF">2020-10-13T17:30:00Z</dcterms:modified>
</cp:coreProperties>
</file>