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5F2A6" w14:textId="78A81708" w:rsidR="00E64A05" w:rsidRPr="003C3A45" w:rsidRDefault="003C3A45" w:rsidP="00DA7897">
      <w:pPr>
        <w:rPr>
          <w:rFonts w:ascii="Helvetica" w:eastAsia="Times New Roman" w:hAnsi="Helvetica" w:cs="Arial"/>
          <w:sz w:val="20"/>
          <w:szCs w:val="20"/>
        </w:rPr>
      </w:pPr>
      <w:r>
        <w:rPr>
          <w:rFonts w:ascii="Helvetica" w:eastAsia="Times New Roman" w:hAnsi="Helvetica" w:cs="Arial"/>
          <w:sz w:val="20"/>
          <w:szCs w:val="20"/>
        </w:rPr>
        <w:t>For the selected nutrient, t</w:t>
      </w:r>
      <w:r w:rsidR="00DA7897" w:rsidRPr="00DA7897">
        <w:rPr>
          <w:rFonts w:ascii="Helvetica" w:eastAsia="Times New Roman" w:hAnsi="Helvetica" w:cs="Arial"/>
          <w:sz w:val="20"/>
          <w:szCs w:val="20"/>
        </w:rPr>
        <w:t xml:space="preserve">his figure shows </w:t>
      </w:r>
      <w:r>
        <w:rPr>
          <w:rFonts w:ascii="Helvetica" w:eastAsia="Times New Roman" w:hAnsi="Helvetica" w:cs="Arial"/>
          <w:sz w:val="20"/>
          <w:szCs w:val="20"/>
        </w:rPr>
        <w:t>the p</w:t>
      </w:r>
      <w:r w:rsidRPr="003C3A45">
        <w:rPr>
          <w:rFonts w:ascii="Helvetica" w:eastAsia="Times New Roman" w:hAnsi="Helvetica" w:cs="Arial"/>
          <w:sz w:val="20"/>
          <w:szCs w:val="20"/>
        </w:rPr>
        <w:t xml:space="preserve">ercentage of projected requirements met from seafood under climate change (RCPs 2.6-8.5) and either business-as-usual (BAU) or reformed fisheries and </w:t>
      </w:r>
      <w:proofErr w:type="spellStart"/>
      <w:r w:rsidRPr="003C3A45">
        <w:rPr>
          <w:rFonts w:ascii="Helvetica" w:eastAsia="Times New Roman" w:hAnsi="Helvetica" w:cs="Arial"/>
          <w:sz w:val="20"/>
          <w:szCs w:val="20"/>
        </w:rPr>
        <w:t>mariculture</w:t>
      </w:r>
      <w:proofErr w:type="spellEnd"/>
      <w:r w:rsidRPr="003C3A45">
        <w:rPr>
          <w:rFonts w:ascii="Helvetica" w:eastAsia="Times New Roman" w:hAnsi="Helvetica" w:cs="Arial"/>
          <w:sz w:val="20"/>
          <w:szCs w:val="20"/>
        </w:rPr>
        <w:t xml:space="preserve"> policies. BAU fisheries management assumes that current harvest rates degrade as populations shift into new management areas whereas reformed fisheries management assumes that economically optimal harvest rates are maintained as populations shift into new management areas. BAU finfish </w:t>
      </w:r>
      <w:proofErr w:type="spellStart"/>
      <w:r w:rsidRPr="003C3A45">
        <w:rPr>
          <w:rFonts w:ascii="Helvetica" w:eastAsia="Times New Roman" w:hAnsi="Helvetica" w:cs="Arial"/>
          <w:sz w:val="20"/>
          <w:szCs w:val="20"/>
        </w:rPr>
        <w:t>mariculture</w:t>
      </w:r>
      <w:proofErr w:type="spellEnd"/>
      <w:r w:rsidRPr="003C3A45">
        <w:rPr>
          <w:rFonts w:ascii="Helvetica" w:eastAsia="Times New Roman" w:hAnsi="Helvetica" w:cs="Arial"/>
          <w:sz w:val="20"/>
          <w:szCs w:val="20"/>
        </w:rPr>
        <w:t xml:space="preserve"> policies assume moderate advances in “fish in, fish out” (FIFO) ratios (values projected for 2030) while reformed finfish </w:t>
      </w:r>
      <w:proofErr w:type="spellStart"/>
      <w:r w:rsidRPr="003C3A45">
        <w:rPr>
          <w:rFonts w:ascii="Helvetica" w:eastAsia="Times New Roman" w:hAnsi="Helvetica" w:cs="Arial"/>
          <w:sz w:val="20"/>
          <w:szCs w:val="20"/>
        </w:rPr>
        <w:t>mariculture</w:t>
      </w:r>
      <w:proofErr w:type="spellEnd"/>
      <w:r w:rsidRPr="003C3A45">
        <w:rPr>
          <w:rFonts w:ascii="Helvetica" w:eastAsia="Times New Roman" w:hAnsi="Helvetica" w:cs="Arial"/>
          <w:sz w:val="20"/>
          <w:szCs w:val="20"/>
        </w:rPr>
        <w:t xml:space="preserve"> policies assume substantial advances in FIFO ratios (values projected for 2050). Bivalve </w:t>
      </w:r>
      <w:proofErr w:type="spellStart"/>
      <w:r w:rsidRPr="003C3A45">
        <w:rPr>
          <w:rFonts w:ascii="Helvetica" w:eastAsia="Times New Roman" w:hAnsi="Helvetica" w:cs="Arial"/>
          <w:sz w:val="20"/>
          <w:szCs w:val="20"/>
        </w:rPr>
        <w:t>mariculture</w:t>
      </w:r>
      <w:proofErr w:type="spellEnd"/>
      <w:r w:rsidRPr="003C3A45">
        <w:rPr>
          <w:rFonts w:ascii="Helvetica" w:eastAsia="Times New Roman" w:hAnsi="Helvetica" w:cs="Arial"/>
          <w:sz w:val="20"/>
          <w:szCs w:val="20"/>
        </w:rPr>
        <w:t xml:space="preserve"> is the same in both policy scenarios. </w:t>
      </w:r>
      <w:proofErr w:type="spellStart"/>
      <w:r w:rsidRPr="003C3A45">
        <w:rPr>
          <w:rFonts w:ascii="Helvetica" w:eastAsia="Times New Roman" w:hAnsi="Helvetica" w:cs="Arial"/>
          <w:sz w:val="20"/>
          <w:szCs w:val="20"/>
        </w:rPr>
        <w:t>Mariculture</w:t>
      </w:r>
      <w:proofErr w:type="spellEnd"/>
      <w:r w:rsidRPr="003C3A45">
        <w:rPr>
          <w:rFonts w:ascii="Helvetica" w:eastAsia="Times New Roman" w:hAnsi="Helvetica" w:cs="Arial"/>
          <w:sz w:val="20"/>
          <w:szCs w:val="20"/>
        </w:rPr>
        <w:t xml:space="preserve"> is assumed to occur in proportion to projected 2100 human po</w:t>
      </w:r>
      <w:bookmarkStart w:id="0" w:name="_GoBack"/>
      <w:bookmarkEnd w:id="0"/>
      <w:r w:rsidRPr="003C3A45">
        <w:rPr>
          <w:rFonts w:ascii="Helvetica" w:eastAsia="Times New Roman" w:hAnsi="Helvetica" w:cs="Arial"/>
          <w:sz w:val="20"/>
          <w:szCs w:val="20"/>
        </w:rPr>
        <w:t>pulation size.</w:t>
      </w:r>
    </w:p>
    <w:sectPr w:rsidR="00E64A05" w:rsidRPr="003C3A45"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E2DC2"/>
    <w:rsid w:val="000F1149"/>
    <w:rsid w:val="001360B9"/>
    <w:rsid w:val="001901AE"/>
    <w:rsid w:val="002066BD"/>
    <w:rsid w:val="0023124B"/>
    <w:rsid w:val="002357A3"/>
    <w:rsid w:val="00251D65"/>
    <w:rsid w:val="002D3B34"/>
    <w:rsid w:val="0037316E"/>
    <w:rsid w:val="003C3A45"/>
    <w:rsid w:val="003D135C"/>
    <w:rsid w:val="003E1C70"/>
    <w:rsid w:val="00474DD8"/>
    <w:rsid w:val="00494AAF"/>
    <w:rsid w:val="0051694E"/>
    <w:rsid w:val="0054757C"/>
    <w:rsid w:val="00557051"/>
    <w:rsid w:val="00566BAD"/>
    <w:rsid w:val="005D7046"/>
    <w:rsid w:val="00646E1B"/>
    <w:rsid w:val="00661F6B"/>
    <w:rsid w:val="00676C1A"/>
    <w:rsid w:val="006F587F"/>
    <w:rsid w:val="007615E2"/>
    <w:rsid w:val="007767CB"/>
    <w:rsid w:val="007A730F"/>
    <w:rsid w:val="00886014"/>
    <w:rsid w:val="008E51DE"/>
    <w:rsid w:val="00924BB7"/>
    <w:rsid w:val="009430F1"/>
    <w:rsid w:val="00947ED8"/>
    <w:rsid w:val="0098588D"/>
    <w:rsid w:val="009C0295"/>
    <w:rsid w:val="00A96954"/>
    <w:rsid w:val="00BC5871"/>
    <w:rsid w:val="00C15D88"/>
    <w:rsid w:val="00C320B2"/>
    <w:rsid w:val="00C53B21"/>
    <w:rsid w:val="00CF18F8"/>
    <w:rsid w:val="00D23B6D"/>
    <w:rsid w:val="00D321F0"/>
    <w:rsid w:val="00D60543"/>
    <w:rsid w:val="00D769DB"/>
    <w:rsid w:val="00DA7897"/>
    <w:rsid w:val="00DC5DFE"/>
    <w:rsid w:val="00E14965"/>
    <w:rsid w:val="00E604D7"/>
    <w:rsid w:val="00E61A8F"/>
    <w:rsid w:val="00E64A05"/>
    <w:rsid w:val="00E77AD3"/>
    <w:rsid w:val="00FC4385"/>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E77AD3"/>
    <w:pPr>
      <w:keepNext/>
      <w:keepLines/>
      <w:spacing w:before="40"/>
      <w:outlineLvl w:val="1"/>
    </w:pPr>
    <w:rPr>
      <w:rFonts w:ascii="Helvetica" w:eastAsiaTheme="majorEastAsia" w:hAnsi="Helvetica" w:cstheme="majorBidi"/>
      <w:b/>
      <w:color w:val="000000" w:themeColor="text1"/>
      <w:sz w:val="4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77AD3"/>
    <w:rPr>
      <w:rFonts w:ascii="Helvetica" w:eastAsiaTheme="majorEastAsia" w:hAnsi="Helvetica" w:cstheme="majorBidi"/>
      <w:b/>
      <w:color w:val="000000" w:themeColor="text1"/>
      <w:sz w:val="48"/>
      <w:szCs w:val="26"/>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357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51756">
      <w:bodyDiv w:val="1"/>
      <w:marLeft w:val="0"/>
      <w:marRight w:val="0"/>
      <w:marTop w:val="0"/>
      <w:marBottom w:val="0"/>
      <w:divBdr>
        <w:top w:val="none" w:sz="0" w:space="0" w:color="auto"/>
        <w:left w:val="none" w:sz="0" w:space="0" w:color="auto"/>
        <w:bottom w:val="none" w:sz="0" w:space="0" w:color="auto"/>
        <w:right w:val="none" w:sz="0" w:space="0" w:color="auto"/>
      </w:divBdr>
    </w:div>
    <w:div w:id="200289662">
      <w:bodyDiv w:val="1"/>
      <w:marLeft w:val="0"/>
      <w:marRight w:val="0"/>
      <w:marTop w:val="0"/>
      <w:marBottom w:val="0"/>
      <w:divBdr>
        <w:top w:val="none" w:sz="0" w:space="0" w:color="auto"/>
        <w:left w:val="none" w:sz="0" w:space="0" w:color="auto"/>
        <w:bottom w:val="none" w:sz="0" w:space="0" w:color="auto"/>
        <w:right w:val="none" w:sz="0" w:space="0" w:color="auto"/>
      </w:divBdr>
    </w:div>
    <w:div w:id="350227219">
      <w:bodyDiv w:val="1"/>
      <w:marLeft w:val="0"/>
      <w:marRight w:val="0"/>
      <w:marTop w:val="0"/>
      <w:marBottom w:val="0"/>
      <w:divBdr>
        <w:top w:val="none" w:sz="0" w:space="0" w:color="auto"/>
        <w:left w:val="none" w:sz="0" w:space="0" w:color="auto"/>
        <w:bottom w:val="none" w:sz="0" w:space="0" w:color="auto"/>
        <w:right w:val="none" w:sz="0" w:space="0" w:color="auto"/>
      </w:divBdr>
    </w:div>
    <w:div w:id="536042514">
      <w:bodyDiv w:val="1"/>
      <w:marLeft w:val="0"/>
      <w:marRight w:val="0"/>
      <w:marTop w:val="0"/>
      <w:marBottom w:val="0"/>
      <w:divBdr>
        <w:top w:val="none" w:sz="0" w:space="0" w:color="auto"/>
        <w:left w:val="none" w:sz="0" w:space="0" w:color="auto"/>
        <w:bottom w:val="none" w:sz="0" w:space="0" w:color="auto"/>
        <w:right w:val="none" w:sz="0" w:space="0" w:color="auto"/>
      </w:divBdr>
    </w:div>
    <w:div w:id="716591132">
      <w:bodyDiv w:val="1"/>
      <w:marLeft w:val="0"/>
      <w:marRight w:val="0"/>
      <w:marTop w:val="0"/>
      <w:marBottom w:val="0"/>
      <w:divBdr>
        <w:top w:val="none" w:sz="0" w:space="0" w:color="auto"/>
        <w:left w:val="none" w:sz="0" w:space="0" w:color="auto"/>
        <w:bottom w:val="none" w:sz="0" w:space="0" w:color="auto"/>
        <w:right w:val="none" w:sz="0" w:space="0" w:color="auto"/>
      </w:divBdr>
    </w:div>
    <w:div w:id="895628332">
      <w:bodyDiv w:val="1"/>
      <w:marLeft w:val="0"/>
      <w:marRight w:val="0"/>
      <w:marTop w:val="0"/>
      <w:marBottom w:val="0"/>
      <w:divBdr>
        <w:top w:val="none" w:sz="0" w:space="0" w:color="auto"/>
        <w:left w:val="none" w:sz="0" w:space="0" w:color="auto"/>
        <w:bottom w:val="none" w:sz="0" w:space="0" w:color="auto"/>
        <w:right w:val="none" w:sz="0" w:space="0" w:color="auto"/>
      </w:divBdr>
    </w:div>
    <w:div w:id="1044478389">
      <w:bodyDiv w:val="1"/>
      <w:marLeft w:val="0"/>
      <w:marRight w:val="0"/>
      <w:marTop w:val="0"/>
      <w:marBottom w:val="0"/>
      <w:divBdr>
        <w:top w:val="none" w:sz="0" w:space="0" w:color="auto"/>
        <w:left w:val="none" w:sz="0" w:space="0" w:color="auto"/>
        <w:bottom w:val="none" w:sz="0" w:space="0" w:color="auto"/>
        <w:right w:val="none" w:sz="0" w:space="0" w:color="auto"/>
      </w:divBdr>
    </w:div>
    <w:div w:id="1117142060">
      <w:bodyDiv w:val="1"/>
      <w:marLeft w:val="0"/>
      <w:marRight w:val="0"/>
      <w:marTop w:val="0"/>
      <w:marBottom w:val="0"/>
      <w:divBdr>
        <w:top w:val="none" w:sz="0" w:space="0" w:color="auto"/>
        <w:left w:val="none" w:sz="0" w:space="0" w:color="auto"/>
        <w:bottom w:val="none" w:sz="0" w:space="0" w:color="auto"/>
        <w:right w:val="none" w:sz="0" w:space="0" w:color="auto"/>
      </w:divBdr>
    </w:div>
    <w:div w:id="1219392594">
      <w:bodyDiv w:val="1"/>
      <w:marLeft w:val="0"/>
      <w:marRight w:val="0"/>
      <w:marTop w:val="0"/>
      <w:marBottom w:val="0"/>
      <w:divBdr>
        <w:top w:val="none" w:sz="0" w:space="0" w:color="auto"/>
        <w:left w:val="none" w:sz="0" w:space="0" w:color="auto"/>
        <w:bottom w:val="none" w:sz="0" w:space="0" w:color="auto"/>
        <w:right w:val="none" w:sz="0" w:space="0" w:color="auto"/>
      </w:divBdr>
    </w:div>
    <w:div w:id="1296446413">
      <w:bodyDiv w:val="1"/>
      <w:marLeft w:val="0"/>
      <w:marRight w:val="0"/>
      <w:marTop w:val="0"/>
      <w:marBottom w:val="0"/>
      <w:divBdr>
        <w:top w:val="none" w:sz="0" w:space="0" w:color="auto"/>
        <w:left w:val="none" w:sz="0" w:space="0" w:color="auto"/>
        <w:bottom w:val="none" w:sz="0" w:space="0" w:color="auto"/>
        <w:right w:val="none" w:sz="0" w:space="0" w:color="auto"/>
      </w:divBdr>
    </w:div>
    <w:div w:id="1579829231">
      <w:bodyDiv w:val="1"/>
      <w:marLeft w:val="0"/>
      <w:marRight w:val="0"/>
      <w:marTop w:val="0"/>
      <w:marBottom w:val="0"/>
      <w:divBdr>
        <w:top w:val="none" w:sz="0" w:space="0" w:color="auto"/>
        <w:left w:val="none" w:sz="0" w:space="0" w:color="auto"/>
        <w:bottom w:val="none" w:sz="0" w:space="0" w:color="auto"/>
        <w:right w:val="none" w:sz="0" w:space="0" w:color="auto"/>
      </w:divBdr>
    </w:div>
    <w:div w:id="1608417276">
      <w:bodyDiv w:val="1"/>
      <w:marLeft w:val="0"/>
      <w:marRight w:val="0"/>
      <w:marTop w:val="0"/>
      <w:marBottom w:val="0"/>
      <w:divBdr>
        <w:top w:val="none" w:sz="0" w:space="0" w:color="auto"/>
        <w:left w:val="none" w:sz="0" w:space="0" w:color="auto"/>
        <w:bottom w:val="none" w:sz="0" w:space="0" w:color="auto"/>
        <w:right w:val="none" w:sz="0" w:space="0" w:color="auto"/>
      </w:divBdr>
    </w:div>
    <w:div w:id="212240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4</cp:revision>
  <dcterms:created xsi:type="dcterms:W3CDTF">2020-09-28T21:27:00Z</dcterms:created>
  <dcterms:modified xsi:type="dcterms:W3CDTF">2020-11-13T18:47:00Z</dcterms:modified>
</cp:coreProperties>
</file>