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36D241B3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2F4DE4">
        <w:rPr>
          <w:rFonts w:ascii="Helvetica" w:eastAsia="Times New Roman" w:hAnsi="Helvetica" w:cs="Arial"/>
          <w:sz w:val="20"/>
          <w:szCs w:val="20"/>
        </w:rPr>
        <w:t xml:space="preserve">figure shows </w:t>
      </w:r>
      <w:r w:rsidR="00792C57" w:rsidRPr="00792C57">
        <w:rPr>
          <w:rFonts w:ascii="Helvetica" w:eastAsia="Times New Roman" w:hAnsi="Helvetica" w:cs="Arial"/>
          <w:sz w:val="20"/>
          <w:szCs w:val="20"/>
        </w:rPr>
        <w:t>nutritional deficiencies by age and sex</w:t>
      </w:r>
      <w:r w:rsidR="00792C57">
        <w:rPr>
          <w:rFonts w:ascii="Helvetica" w:eastAsia="Times New Roman" w:hAnsi="Helvetica" w:cs="Arial"/>
          <w:sz w:val="20"/>
          <w:szCs w:val="20"/>
        </w:rPr>
        <w:t xml:space="preserve"> for the selected country. For each nutrient, the [median] intake for that age and sex are shown relative to the daily recommendation. Shading shows the percentage above (blue) or below (red) the daily recommendation. 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92C57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2020-09-28T22:40:00Z</dcterms:created>
  <dcterms:modified xsi:type="dcterms:W3CDTF">2020-09-28T22:40:00Z</dcterms:modified>
</cp:coreProperties>
</file>