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F10F" w14:textId="5F58D8AA" w:rsidR="00AF547A" w:rsidRDefault="00FD48E7">
      <w:bookmarkStart w:id="0" w:name="_GoBack"/>
      <w:bookmarkEnd w:id="0"/>
      <w:r>
        <w:t>Subsidy Info!!!</w:t>
      </w:r>
    </w:p>
    <w:p w14:paraId="6E7CE465" w14:textId="4852F372" w:rsidR="001347FE" w:rsidRDefault="001347FE"/>
    <w:p w14:paraId="315246E3" w14:textId="0AFFB7F9" w:rsidR="001347FE" w:rsidRDefault="001347FE">
      <w:r>
        <w:t>To include:</w:t>
      </w:r>
    </w:p>
    <w:p w14:paraId="0F418C0C" w14:textId="0B079226" w:rsidR="001347FE" w:rsidRDefault="001347FE" w:rsidP="001347FE">
      <w:pPr>
        <w:pStyle w:val="ListParagraph"/>
        <w:numPr>
          <w:ilvl w:val="0"/>
          <w:numId w:val="1"/>
        </w:numPr>
      </w:pPr>
      <w:r>
        <w:t>Data source for subsidies and links</w:t>
      </w:r>
    </w:p>
    <w:p w14:paraId="24E66160" w14:textId="18057B27" w:rsidR="001347FE" w:rsidRDefault="001347FE" w:rsidP="001347FE">
      <w:pPr>
        <w:pStyle w:val="ListParagraph"/>
        <w:numPr>
          <w:ilvl w:val="0"/>
          <w:numId w:val="1"/>
        </w:numPr>
      </w:pPr>
      <w:r>
        <w:t>Break down of types of subsidies (from explorer app)</w:t>
      </w:r>
    </w:p>
    <w:p w14:paraId="255238FF" w14:textId="4F573131" w:rsidR="001347FE" w:rsidRDefault="001347FE" w:rsidP="001347FE">
      <w:pPr>
        <w:pStyle w:val="ListParagraph"/>
        <w:numPr>
          <w:ilvl w:val="0"/>
          <w:numId w:val="1"/>
        </w:numPr>
      </w:pPr>
      <w:r>
        <w:t>Disclaimer of flag states with no subsidy info</w:t>
      </w:r>
    </w:p>
    <w:p w14:paraId="5F070B9A" w14:textId="6F384ED7" w:rsidR="001347FE" w:rsidRDefault="001347FE" w:rsidP="00D73DE1"/>
    <w:p w14:paraId="4792E4FB" w14:textId="7F12766D" w:rsidR="00D73DE1" w:rsidRDefault="00275A42" w:rsidP="00D73DE1">
      <w:r>
        <w:t>Using</w:t>
      </w:r>
      <w:r w:rsidR="00D73DE1">
        <w:t xml:space="preserve"> our final subset of distant water fishing effort/vessels from our database, we allocate</w:t>
      </w:r>
      <w:r>
        <w:t>d</w:t>
      </w:r>
      <w:r w:rsidR="00D73DE1">
        <w:t xml:space="preserve"> subsidies proportionally based on fishing effort to get an estimate of the total amount of subsidies each vessel </w:t>
      </w:r>
      <w:r w:rsidR="00D629EE">
        <w:t>receives</w:t>
      </w:r>
      <w:r w:rsidR="00D73DE1">
        <w:t xml:space="preserve">. </w:t>
      </w:r>
    </w:p>
    <w:p w14:paraId="69673F7B" w14:textId="77777777" w:rsidR="00D73DE1" w:rsidRDefault="00D73DE1" w:rsidP="00D73DE1"/>
    <w:p w14:paraId="3929916B" w14:textId="0256390D" w:rsidR="00D73DE1" w:rsidRDefault="00D73DE1" w:rsidP="00D73DE1">
      <w:r>
        <w:t>First</w:t>
      </w:r>
      <w:r w:rsidR="0058638D">
        <w:t>,</w:t>
      </w:r>
      <w:r>
        <w:t xml:space="preserve"> we determine</w:t>
      </w:r>
      <w:r w:rsidR="00275A42">
        <w:t>d</w:t>
      </w:r>
      <w:r>
        <w:t xml:space="preserve"> subsidy rates for each flag state based on total annual fishing effort contained in our dataset.</w:t>
      </w:r>
    </w:p>
    <w:p w14:paraId="55AD8837" w14:textId="7D4F947F" w:rsidR="0058638D" w:rsidRDefault="0058638D" w:rsidP="00D73DE1"/>
    <w:p w14:paraId="17B52F0B" w14:textId="523E785C" w:rsidR="0058638D" w:rsidRDefault="0058638D" w:rsidP="00D73DE1">
      <w:pPr>
        <w:rPr>
          <w:rStyle w:val="Hyperlink"/>
          <w:rFonts w:cstheme="minorHAnsi"/>
          <w:color w:val="auto"/>
          <w:u w:val="none"/>
        </w:rPr>
      </w:pPr>
      <w:r>
        <w:t xml:space="preserve">We </w:t>
      </w:r>
      <w:r w:rsidRPr="00DF2640">
        <w:rPr>
          <w:rFonts w:cstheme="minorHAnsi"/>
        </w:rPr>
        <w:t>only include</w:t>
      </w:r>
      <w:r w:rsidR="00275A42" w:rsidRPr="00DF2640">
        <w:rPr>
          <w:rFonts w:cstheme="minorHAnsi"/>
        </w:rPr>
        <w:t>d</w:t>
      </w:r>
      <w:r w:rsidRPr="00DF2640">
        <w:rPr>
          <w:rFonts w:cstheme="minorHAnsi"/>
        </w:rPr>
        <w:t xml:space="preserve"> harmful subsidies that enhance the capacity of distant water fishing fleets</w:t>
      </w:r>
      <w:r w:rsidR="00275A42" w:rsidRPr="00DF2640">
        <w:rPr>
          <w:rFonts w:cstheme="minorHAnsi"/>
        </w:rPr>
        <w:t xml:space="preserve">. </w:t>
      </w:r>
      <w:r w:rsidRPr="00DF2640">
        <w:rPr>
          <w:rFonts w:cstheme="minorHAnsi"/>
        </w:rPr>
        <w:t>Using a classification scheme for fisheries subsidies created by</w:t>
      </w:r>
      <w:r w:rsidR="00DF2640" w:rsidRPr="00DF2640">
        <w:rPr>
          <w:rFonts w:cstheme="minorHAnsi"/>
        </w:rPr>
        <w:t xml:space="preserve"> </w:t>
      </w:r>
      <w:hyperlink r:id="rId5" w:history="1">
        <w:proofErr w:type="spellStart"/>
        <w:r w:rsidR="00DF2640" w:rsidRPr="00DF2640">
          <w:rPr>
            <w:rStyle w:val="Hyperlink"/>
            <w:rFonts w:cstheme="minorHAnsi"/>
          </w:rPr>
          <w:t>Sumaila</w:t>
        </w:r>
        <w:proofErr w:type="spellEnd"/>
        <w:r w:rsidR="00DF2640" w:rsidRPr="00DF2640">
          <w:rPr>
            <w:rStyle w:val="Hyperlink"/>
            <w:rFonts w:cstheme="minorHAnsi"/>
          </w:rPr>
          <w:t xml:space="preserve"> et al. (2010)</w:t>
        </w:r>
      </w:hyperlink>
      <w:r w:rsidR="00DF2640">
        <w:rPr>
          <w:rStyle w:val="Hyperlink"/>
          <w:rFonts w:cstheme="minorHAnsi"/>
          <w:color w:val="auto"/>
          <w:u w:val="none"/>
        </w:rPr>
        <w:t xml:space="preserve"> we filtered our data to only include the capacity-enhancing subsidy type in the final totals and then summarized total subsidy rates by flag state. </w:t>
      </w:r>
    </w:p>
    <w:p w14:paraId="40D67339" w14:textId="7E0F3655" w:rsidR="00DF2640" w:rsidRDefault="00DF2640" w:rsidP="00D73DE1">
      <w:pPr>
        <w:rPr>
          <w:rStyle w:val="Hyperlink"/>
          <w:rFonts w:cstheme="minorHAnsi"/>
          <w:color w:val="auto"/>
          <w:u w:val="none"/>
        </w:rPr>
      </w:pPr>
    </w:p>
    <w:p w14:paraId="5F5E34BF" w14:textId="3C1A5FDA" w:rsidR="00DF2640" w:rsidRDefault="00DF2640" w:rsidP="00D73DE1">
      <w:pPr>
        <w:rPr>
          <w:rStyle w:val="Hyperlink"/>
          <w:rFonts w:cstheme="minorHAnsi"/>
          <w:color w:val="auto"/>
          <w:u w:val="none"/>
        </w:rPr>
      </w:pPr>
    </w:p>
    <w:p w14:paraId="5F80555B" w14:textId="3A3D85BA" w:rsidR="00275A42" w:rsidRPr="0058638D" w:rsidRDefault="00275A42" w:rsidP="00D73DE1">
      <w:pPr>
        <w:rPr>
          <w:rFonts w:cstheme="minorHAnsi"/>
        </w:rPr>
      </w:pPr>
      <w:r>
        <w:rPr>
          <w:rFonts w:cstheme="minorHAnsi"/>
        </w:rPr>
        <w:t>** allocate subsides of flag states to dependencies</w:t>
      </w:r>
    </w:p>
    <w:p w14:paraId="01BF984C" w14:textId="77777777" w:rsidR="0058638D" w:rsidRDefault="0058638D" w:rsidP="00D73DE1"/>
    <w:p w14:paraId="7100C944" w14:textId="05F1BFCB" w:rsidR="0058638D" w:rsidRPr="0058638D" w:rsidRDefault="0058638D" w:rsidP="00D73DE1">
      <w:pPr>
        <w:rPr>
          <w:b/>
        </w:rPr>
      </w:pPr>
      <w:r w:rsidRPr="0058638D">
        <w:rPr>
          <w:b/>
        </w:rPr>
        <w:t>These capacity-enhancing subsidies include:</w:t>
      </w:r>
    </w:p>
    <w:p w14:paraId="6233B758" w14:textId="47E3DA27" w:rsidR="0058638D" w:rsidRDefault="0058638D" w:rsidP="0058638D"/>
    <w:tbl>
      <w:tblPr>
        <w:tblStyle w:val="TableGrid"/>
        <w:tblW w:w="0" w:type="auto"/>
        <w:tblLook w:val="04A0" w:firstRow="1" w:lastRow="0" w:firstColumn="1" w:lastColumn="0" w:noHBand="0" w:noVBand="1"/>
      </w:tblPr>
      <w:tblGrid>
        <w:gridCol w:w="3808"/>
        <w:gridCol w:w="10142"/>
      </w:tblGrid>
      <w:tr w:rsidR="0058638D" w:rsidRPr="001C0D41" w14:paraId="4E1707C3" w14:textId="77777777" w:rsidTr="00325FF9">
        <w:tc>
          <w:tcPr>
            <w:tcW w:w="13950" w:type="dxa"/>
            <w:gridSpan w:val="2"/>
            <w:tcBorders>
              <w:top w:val="dotted" w:sz="4" w:space="0" w:color="auto"/>
              <w:left w:val="nil"/>
              <w:bottom w:val="nil"/>
              <w:right w:val="nil"/>
            </w:tcBorders>
            <w:vAlign w:val="center"/>
          </w:tcPr>
          <w:p w14:paraId="08696366" w14:textId="47811840" w:rsidR="0058638D" w:rsidRPr="004F6881" w:rsidRDefault="004F6881" w:rsidP="004F6881">
            <w:pPr>
              <w:spacing w:before="120" w:after="120"/>
              <w:rPr>
                <w:rFonts w:ascii="Helvetica" w:hAnsi="Helvetica"/>
                <w:sz w:val="18"/>
                <w:szCs w:val="18"/>
              </w:rPr>
            </w:pPr>
            <w:r>
              <w:rPr>
                <w:rFonts w:ascii="Helvetica" w:hAnsi="Helvetica"/>
                <w:b/>
                <w:sz w:val="18"/>
                <w:szCs w:val="18"/>
              </w:rPr>
              <w:t xml:space="preserve">B.   </w:t>
            </w:r>
            <w:r w:rsidR="0058638D" w:rsidRPr="004F6881">
              <w:rPr>
                <w:rFonts w:ascii="Helvetica" w:hAnsi="Helvetica"/>
                <w:b/>
                <w:sz w:val="18"/>
                <w:szCs w:val="18"/>
              </w:rPr>
              <w:t>Capacity-enhancing subsidies (“harmful”)</w:t>
            </w:r>
          </w:p>
        </w:tc>
      </w:tr>
      <w:tr w:rsidR="0058638D" w:rsidRPr="00333610" w14:paraId="5E76D400" w14:textId="77777777" w:rsidTr="00325FF9">
        <w:tc>
          <w:tcPr>
            <w:tcW w:w="3808" w:type="dxa"/>
            <w:tcBorders>
              <w:top w:val="nil"/>
              <w:left w:val="nil"/>
              <w:bottom w:val="nil"/>
              <w:right w:val="nil"/>
            </w:tcBorders>
            <w:shd w:val="clear" w:color="auto" w:fill="F2F2F2" w:themeFill="background1" w:themeFillShade="F2"/>
            <w:vAlign w:val="center"/>
          </w:tcPr>
          <w:p w14:paraId="64919728"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B1. Boat construction, renewal and modernization programs</w:t>
            </w:r>
          </w:p>
        </w:tc>
        <w:tc>
          <w:tcPr>
            <w:tcW w:w="10142" w:type="dxa"/>
            <w:tcBorders>
              <w:top w:val="nil"/>
              <w:left w:val="nil"/>
              <w:bottom w:val="nil"/>
              <w:right w:val="nil"/>
            </w:tcBorders>
            <w:shd w:val="clear" w:color="auto" w:fill="F2F2F2" w:themeFill="background1" w:themeFillShade="F2"/>
            <w:vAlign w:val="center"/>
          </w:tcPr>
          <w:p w14:paraId="4060D922"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lending programs below market rate geared towards fishing vessel construction, renewal and modernization (loan guarantees, restructuring, and other lending programs) as well as public support programs to adopt new and/or improve fishing technology.</w:t>
            </w:r>
          </w:p>
        </w:tc>
      </w:tr>
      <w:tr w:rsidR="0058638D" w:rsidRPr="00333610" w14:paraId="2779FA3B" w14:textId="77777777" w:rsidTr="00325FF9">
        <w:tc>
          <w:tcPr>
            <w:tcW w:w="3808" w:type="dxa"/>
            <w:tcBorders>
              <w:top w:val="nil"/>
              <w:left w:val="nil"/>
              <w:bottom w:val="nil"/>
              <w:right w:val="nil"/>
            </w:tcBorders>
            <w:shd w:val="clear" w:color="auto" w:fill="auto"/>
            <w:vAlign w:val="center"/>
          </w:tcPr>
          <w:p w14:paraId="0FAFFE5C"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B2. Fishing port construction and renovation programs</w:t>
            </w:r>
          </w:p>
        </w:tc>
        <w:tc>
          <w:tcPr>
            <w:tcW w:w="10142" w:type="dxa"/>
            <w:tcBorders>
              <w:top w:val="nil"/>
              <w:left w:val="nil"/>
              <w:bottom w:val="nil"/>
              <w:right w:val="nil"/>
            </w:tcBorders>
            <w:shd w:val="clear" w:color="auto" w:fill="auto"/>
            <w:vAlign w:val="center"/>
          </w:tcPr>
          <w:p w14:paraId="6DBDDAA6"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 xml:space="preserve">These may include provision of public funds towards fishing landing site infrastructure, port improvements for fishing fleets, harbor maintenance, jetty and landing facilities, and reduced cost or free moorage for fishing fleets. </w:t>
            </w:r>
          </w:p>
        </w:tc>
      </w:tr>
      <w:tr w:rsidR="0058638D" w:rsidRPr="00333610" w14:paraId="14DC1056" w14:textId="77777777" w:rsidTr="00325FF9">
        <w:trPr>
          <w:trHeight w:val="665"/>
        </w:trPr>
        <w:tc>
          <w:tcPr>
            <w:tcW w:w="3808" w:type="dxa"/>
            <w:tcBorders>
              <w:top w:val="nil"/>
              <w:left w:val="nil"/>
              <w:bottom w:val="nil"/>
              <w:right w:val="nil"/>
            </w:tcBorders>
            <w:shd w:val="clear" w:color="auto" w:fill="F2F2F2" w:themeFill="background1" w:themeFillShade="F2"/>
            <w:vAlign w:val="center"/>
          </w:tcPr>
          <w:p w14:paraId="0D8180E1"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B3. Price and marketing support, processing and storage infrastructure programs</w:t>
            </w:r>
          </w:p>
        </w:tc>
        <w:tc>
          <w:tcPr>
            <w:tcW w:w="10142" w:type="dxa"/>
            <w:tcBorders>
              <w:top w:val="nil"/>
              <w:left w:val="nil"/>
              <w:bottom w:val="nil"/>
              <w:right w:val="nil"/>
            </w:tcBorders>
            <w:shd w:val="clear" w:color="auto" w:fill="F2F2F2" w:themeFill="background1" w:themeFillShade="F2"/>
            <w:vAlign w:val="center"/>
          </w:tcPr>
          <w:p w14:paraId="3C39EA3E"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market intervention programs such as value addition and price support, or infrastructure investment programs for processing, storage, and fish auction facilities.</w:t>
            </w:r>
          </w:p>
        </w:tc>
      </w:tr>
      <w:tr w:rsidR="0058638D" w:rsidRPr="00333610" w14:paraId="6D7587CD" w14:textId="77777777" w:rsidTr="00325FF9">
        <w:tc>
          <w:tcPr>
            <w:tcW w:w="3808" w:type="dxa"/>
            <w:tcBorders>
              <w:top w:val="nil"/>
              <w:left w:val="nil"/>
              <w:bottom w:val="nil"/>
              <w:right w:val="nil"/>
            </w:tcBorders>
            <w:shd w:val="clear" w:color="auto" w:fill="auto"/>
            <w:vAlign w:val="center"/>
          </w:tcPr>
          <w:p w14:paraId="596B757A"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B4. Fishery development projects and support services</w:t>
            </w:r>
          </w:p>
        </w:tc>
        <w:tc>
          <w:tcPr>
            <w:tcW w:w="10142" w:type="dxa"/>
            <w:tcBorders>
              <w:top w:val="nil"/>
              <w:left w:val="nil"/>
              <w:bottom w:val="nil"/>
              <w:right w:val="nil"/>
            </w:tcBorders>
            <w:shd w:val="clear" w:color="auto" w:fill="auto"/>
            <w:vAlign w:val="center"/>
          </w:tcPr>
          <w:p w14:paraId="0A86B90B"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programs that support fisheries enterprises development or programs that provide institutional support and services, provision of baits, and search and rescue programs.</w:t>
            </w:r>
          </w:p>
        </w:tc>
      </w:tr>
      <w:tr w:rsidR="0058638D" w:rsidRPr="00333610" w14:paraId="44FD89CA" w14:textId="77777777" w:rsidTr="00325FF9">
        <w:tc>
          <w:tcPr>
            <w:tcW w:w="3808" w:type="dxa"/>
            <w:tcBorders>
              <w:top w:val="nil"/>
              <w:left w:val="nil"/>
              <w:bottom w:val="nil"/>
              <w:right w:val="nil"/>
            </w:tcBorders>
            <w:shd w:val="clear" w:color="auto" w:fill="F2F2F2" w:themeFill="background1" w:themeFillShade="F2"/>
            <w:vAlign w:val="center"/>
          </w:tcPr>
          <w:p w14:paraId="50E7B523"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B5. Non-fuel tax exemptions</w:t>
            </w:r>
          </w:p>
        </w:tc>
        <w:tc>
          <w:tcPr>
            <w:tcW w:w="10142" w:type="dxa"/>
            <w:tcBorders>
              <w:top w:val="nil"/>
              <w:left w:val="nil"/>
              <w:bottom w:val="nil"/>
              <w:right w:val="nil"/>
            </w:tcBorders>
            <w:shd w:val="clear" w:color="auto" w:fill="F2F2F2" w:themeFill="background1" w:themeFillShade="F2"/>
            <w:vAlign w:val="center"/>
          </w:tcPr>
          <w:p w14:paraId="641CEEAF"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rebate and other government funded insurance support programs that have a direct impact on profits such as income tax deferral for fishers, crew insurance, duty free imports of fishing inputs, vessel insurance programs, and other economic incentive programs.</w:t>
            </w:r>
          </w:p>
        </w:tc>
      </w:tr>
      <w:tr w:rsidR="0058638D" w:rsidRPr="00333610" w14:paraId="0D574BB0" w14:textId="77777777" w:rsidTr="00325FF9">
        <w:tc>
          <w:tcPr>
            <w:tcW w:w="3808" w:type="dxa"/>
            <w:tcBorders>
              <w:top w:val="nil"/>
              <w:left w:val="nil"/>
              <w:bottom w:val="nil"/>
              <w:right w:val="nil"/>
            </w:tcBorders>
            <w:shd w:val="clear" w:color="auto" w:fill="auto"/>
            <w:vAlign w:val="center"/>
          </w:tcPr>
          <w:p w14:paraId="4D9BD888"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B6. Foreign access agreements</w:t>
            </w:r>
          </w:p>
        </w:tc>
        <w:tc>
          <w:tcPr>
            <w:tcW w:w="10142" w:type="dxa"/>
            <w:tcBorders>
              <w:top w:val="nil"/>
              <w:left w:val="nil"/>
              <w:bottom w:val="nil"/>
              <w:right w:val="nil"/>
            </w:tcBorders>
            <w:shd w:val="clear" w:color="auto" w:fill="auto"/>
            <w:vAlign w:val="center"/>
          </w:tcPr>
          <w:p w14:paraId="6ECEC48D"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explicit monetary transfers, transfers of fishing technology, or the provision of market access in another country.</w:t>
            </w:r>
          </w:p>
        </w:tc>
      </w:tr>
      <w:tr w:rsidR="0058638D" w:rsidRPr="00333610" w14:paraId="19FBBE43" w14:textId="77777777" w:rsidTr="00325FF9">
        <w:tc>
          <w:tcPr>
            <w:tcW w:w="3808" w:type="dxa"/>
            <w:tcBorders>
              <w:top w:val="nil"/>
              <w:left w:val="nil"/>
              <w:bottom w:val="dotted" w:sz="4" w:space="0" w:color="auto"/>
              <w:right w:val="nil"/>
            </w:tcBorders>
            <w:shd w:val="clear" w:color="auto" w:fill="F2F2F2" w:themeFill="background1" w:themeFillShade="F2"/>
            <w:vAlign w:val="center"/>
          </w:tcPr>
          <w:p w14:paraId="68FF5928"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B7. Fuel subsidies</w:t>
            </w:r>
          </w:p>
        </w:tc>
        <w:tc>
          <w:tcPr>
            <w:tcW w:w="10142" w:type="dxa"/>
            <w:tcBorders>
              <w:top w:val="nil"/>
              <w:left w:val="nil"/>
              <w:bottom w:val="dotted" w:sz="4" w:space="0" w:color="auto"/>
              <w:right w:val="nil"/>
            </w:tcBorders>
            <w:shd w:val="clear" w:color="auto" w:fill="F2F2F2" w:themeFill="background1" w:themeFillShade="F2"/>
            <w:vAlign w:val="center"/>
          </w:tcPr>
          <w:p w14:paraId="270C328B"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 xml:space="preserve">This is calculated as the difference between the price per </w:t>
            </w:r>
            <w:proofErr w:type="spellStart"/>
            <w:r w:rsidRPr="00333610">
              <w:rPr>
                <w:rFonts w:ascii="Helvetica" w:hAnsi="Helvetica"/>
                <w:sz w:val="18"/>
                <w:szCs w:val="18"/>
              </w:rPr>
              <w:t>litre</w:t>
            </w:r>
            <w:proofErr w:type="spellEnd"/>
            <w:r w:rsidRPr="00333610">
              <w:rPr>
                <w:rFonts w:ascii="Helvetica" w:hAnsi="Helvetica"/>
                <w:sz w:val="18"/>
                <w:szCs w:val="18"/>
              </w:rPr>
              <w:t xml:space="preserve"> of fuel paid by fishers and the national price applied to fuel purchase for other uses.</w:t>
            </w:r>
          </w:p>
        </w:tc>
      </w:tr>
    </w:tbl>
    <w:p w14:paraId="0B34ECB4" w14:textId="77777777" w:rsidR="0058638D" w:rsidRDefault="0058638D" w:rsidP="0058638D"/>
    <w:sectPr w:rsidR="0058638D"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11CA"/>
    <w:multiLevelType w:val="hybridMultilevel"/>
    <w:tmpl w:val="663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52CAC"/>
    <w:multiLevelType w:val="hybridMultilevel"/>
    <w:tmpl w:val="664E1E28"/>
    <w:lvl w:ilvl="0" w:tplc="A5B469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56C6A"/>
    <w:multiLevelType w:val="hybridMultilevel"/>
    <w:tmpl w:val="C38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E7"/>
    <w:rsid w:val="001347FE"/>
    <w:rsid w:val="00275A42"/>
    <w:rsid w:val="004F6881"/>
    <w:rsid w:val="00555FD4"/>
    <w:rsid w:val="0058638D"/>
    <w:rsid w:val="006D2AE1"/>
    <w:rsid w:val="00736139"/>
    <w:rsid w:val="00752005"/>
    <w:rsid w:val="007F3271"/>
    <w:rsid w:val="0088406C"/>
    <w:rsid w:val="008E0C60"/>
    <w:rsid w:val="008E3E2B"/>
    <w:rsid w:val="008F25CC"/>
    <w:rsid w:val="00921A6C"/>
    <w:rsid w:val="00A54F9E"/>
    <w:rsid w:val="00BF2ED4"/>
    <w:rsid w:val="00D629EE"/>
    <w:rsid w:val="00D73DE1"/>
    <w:rsid w:val="00DF255A"/>
    <w:rsid w:val="00DF2640"/>
    <w:rsid w:val="00DF5194"/>
    <w:rsid w:val="00EA11CC"/>
    <w:rsid w:val="00FD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18B64"/>
  <w15:chartTrackingRefBased/>
  <w15:docId w15:val="{4DAFCCAA-9A43-2D49-829E-5C1359CE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FE"/>
    <w:pPr>
      <w:ind w:left="720"/>
      <w:contextualSpacing/>
    </w:pPr>
  </w:style>
  <w:style w:type="table" w:styleId="TableGrid">
    <w:name w:val="Table Grid"/>
    <w:basedOn w:val="TableNormal"/>
    <w:uiPriority w:val="39"/>
    <w:rsid w:val="0058638D"/>
    <w:rPr>
      <w:rFonts w:ascii="Arial" w:hAnsi="Arial" w:cs="Times New Roman (Body 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ceana.org/sites/default/files/Bottom-Up_Re-estimation_Sumalia_2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 Millage</cp:lastModifiedBy>
  <cp:revision>2</cp:revision>
  <dcterms:created xsi:type="dcterms:W3CDTF">2019-09-05T22:36:00Z</dcterms:created>
  <dcterms:modified xsi:type="dcterms:W3CDTF">2019-09-05T22:36:00Z</dcterms:modified>
</cp:coreProperties>
</file>