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20392" w14:textId="298BCD66" w:rsidR="00F55F43" w:rsidRPr="00456AB1" w:rsidRDefault="008A768E" w:rsidP="00F55F43">
      <w:pPr>
        <w:pBdr>
          <w:bottom w:val="single" w:sz="12" w:space="1" w:color="FFFFFF" w:themeColor="background1"/>
        </w:pBdr>
        <w:rPr>
          <w:rFonts w:ascii="Avenir Light" w:hAnsi="Avenir Light" w:cs="Arial"/>
          <w:b/>
        </w:rPr>
      </w:pPr>
      <w:r>
        <w:rPr>
          <w:rFonts w:ascii="Avenir Light" w:hAnsi="Avenir Light" w:cs="Arial"/>
          <w:b/>
        </w:rPr>
        <w:t>Key Assumptions &amp; Limitations</w:t>
      </w:r>
    </w:p>
    <w:p w14:paraId="0D4C9EF7" w14:textId="77592B8C" w:rsidR="008A768E" w:rsidRDefault="008A768E" w:rsidP="008A768E">
      <w:pPr>
        <w:spacing w:before="120"/>
        <w:rPr>
          <w:rFonts w:ascii="Avenir Light" w:hAnsi="Avenir Light" w:cs="Arial"/>
          <w:sz w:val="20"/>
          <w:szCs w:val="20"/>
        </w:rPr>
      </w:pPr>
      <w:r>
        <w:rPr>
          <w:rFonts w:ascii="Avenir Light" w:hAnsi="Avenir Light" w:cs="Arial"/>
          <w:sz w:val="20"/>
          <w:szCs w:val="20"/>
        </w:rPr>
        <w:t xml:space="preserve">A complete discussion of the assumptions made to overcome data limitations during the course of this analysis--as well as their inherent limitations--are included in the methodology document that can be downloaded above. However, brief summaries of some of the key assumptions and limitations are summarized </w:t>
      </w:r>
      <w:r w:rsidR="00F37027">
        <w:rPr>
          <w:rFonts w:ascii="Avenir Light" w:hAnsi="Avenir Light" w:cs="Arial"/>
          <w:sz w:val="20"/>
          <w:szCs w:val="20"/>
        </w:rPr>
        <w:t>in the subsequent sections</w:t>
      </w:r>
      <w:r>
        <w:rPr>
          <w:rFonts w:ascii="Avenir Light" w:hAnsi="Avenir Light" w:cs="Arial"/>
          <w:sz w:val="20"/>
          <w:szCs w:val="20"/>
        </w:rPr>
        <w:t xml:space="preserve">. </w:t>
      </w:r>
    </w:p>
    <w:p w14:paraId="32E89FAF" w14:textId="77777777" w:rsidR="00F37027" w:rsidRDefault="00F37027" w:rsidP="008A768E">
      <w:pPr>
        <w:spacing w:before="120"/>
        <w:rPr>
          <w:rFonts w:ascii="Avenir Light" w:hAnsi="Avenir Light" w:cs="Arial"/>
          <w:sz w:val="20"/>
          <w:szCs w:val="20"/>
        </w:rPr>
      </w:pPr>
    </w:p>
    <w:p w14:paraId="44B4349E" w14:textId="05E726A4" w:rsidR="008A768E" w:rsidRPr="008A768E" w:rsidRDefault="008A768E" w:rsidP="008A768E">
      <w:pPr>
        <w:spacing w:before="120"/>
        <w:rPr>
          <w:rFonts w:ascii="Avenir Light" w:hAnsi="Avenir Light" w:cs="Arial"/>
          <w:b/>
          <w:sz w:val="20"/>
          <w:szCs w:val="20"/>
        </w:rPr>
      </w:pPr>
      <w:r w:rsidRPr="008A768E">
        <w:rPr>
          <w:rFonts w:ascii="Avenir Light" w:hAnsi="Avenir Light" w:cs="Arial"/>
          <w:b/>
          <w:sz w:val="20"/>
          <w:szCs w:val="20"/>
        </w:rPr>
        <w:t>Defining Distant Water Fishing</w:t>
      </w:r>
    </w:p>
    <w:p w14:paraId="78446B40" w14:textId="4CAB5CF0" w:rsidR="0039054B" w:rsidRDefault="008A768E" w:rsidP="008A768E">
      <w:pPr>
        <w:spacing w:before="120"/>
        <w:rPr>
          <w:rFonts w:ascii="Avenir Light" w:hAnsi="Avenir Light" w:cs="Arial"/>
          <w:sz w:val="20"/>
          <w:szCs w:val="20"/>
        </w:rPr>
      </w:pPr>
      <w:r>
        <w:rPr>
          <w:rFonts w:ascii="Avenir Light" w:hAnsi="Avenir Light" w:cs="Arial"/>
          <w:sz w:val="20"/>
          <w:szCs w:val="20"/>
        </w:rPr>
        <w:t xml:space="preserve">Definitions of “distant water fishing” vary, but for the purposes of this tool, we assume it to </w:t>
      </w:r>
      <w:r w:rsidR="0039054B">
        <w:rPr>
          <w:rFonts w:ascii="Avenir Light" w:hAnsi="Avenir Light" w:cs="Arial"/>
          <w:sz w:val="20"/>
          <w:szCs w:val="20"/>
        </w:rPr>
        <w:t>encompass any fishing activity</w:t>
      </w:r>
      <w:r>
        <w:rPr>
          <w:rFonts w:ascii="Avenir Light" w:hAnsi="Avenir Light" w:cs="Arial"/>
          <w:sz w:val="20"/>
          <w:szCs w:val="20"/>
        </w:rPr>
        <w:t xml:space="preserve"> </w:t>
      </w:r>
      <w:r w:rsidR="0039054B">
        <w:rPr>
          <w:rFonts w:ascii="Avenir Light" w:hAnsi="Avenir Light" w:cs="Arial"/>
          <w:sz w:val="20"/>
          <w:szCs w:val="20"/>
        </w:rPr>
        <w:t xml:space="preserve">by a vessel that </w:t>
      </w:r>
      <w:r>
        <w:rPr>
          <w:rFonts w:ascii="Avenir Light" w:hAnsi="Avenir Light" w:cs="Arial"/>
          <w:sz w:val="20"/>
          <w:szCs w:val="20"/>
        </w:rPr>
        <w:t xml:space="preserve">a) occurs </w:t>
      </w:r>
      <w:r w:rsidR="0039054B">
        <w:rPr>
          <w:rFonts w:ascii="Avenir Light" w:hAnsi="Avenir Light" w:cs="Arial"/>
          <w:sz w:val="20"/>
          <w:szCs w:val="20"/>
        </w:rPr>
        <w:t xml:space="preserve">in areas </w:t>
      </w:r>
      <w:r>
        <w:rPr>
          <w:rFonts w:ascii="Avenir Light" w:hAnsi="Avenir Light" w:cs="Arial"/>
          <w:sz w:val="20"/>
          <w:szCs w:val="20"/>
        </w:rPr>
        <w:t xml:space="preserve">beyond the jurisdiction of any nation or state (“on the high seas”) or b) </w:t>
      </w:r>
      <w:r w:rsidR="0039054B">
        <w:rPr>
          <w:rFonts w:ascii="Avenir Light" w:hAnsi="Avenir Light" w:cs="Arial"/>
          <w:sz w:val="20"/>
          <w:szCs w:val="20"/>
        </w:rPr>
        <w:t xml:space="preserve">occurs </w:t>
      </w:r>
      <w:r>
        <w:rPr>
          <w:rFonts w:ascii="Avenir Light" w:hAnsi="Avenir Light" w:cs="Arial"/>
          <w:sz w:val="20"/>
          <w:szCs w:val="20"/>
        </w:rPr>
        <w:t xml:space="preserve">in the EEZ of a coastal state </w:t>
      </w:r>
      <w:r w:rsidR="0039054B">
        <w:rPr>
          <w:rFonts w:ascii="Avenir Light" w:hAnsi="Avenir Light" w:cs="Arial"/>
          <w:sz w:val="20"/>
          <w:szCs w:val="20"/>
        </w:rPr>
        <w:t>that is different from the flag state of the vessel. We therefore only represent fishing activity meeting either of those criteria in this too</w:t>
      </w:r>
      <w:r w:rsidR="00F37027">
        <w:rPr>
          <w:rFonts w:ascii="Avenir Light" w:hAnsi="Avenir Light" w:cs="Arial"/>
          <w:sz w:val="20"/>
          <w:szCs w:val="20"/>
        </w:rPr>
        <w:t xml:space="preserve">l. These determinations are not intended to imply any judgements about the legality of distant water fishing—most distant water fishing activity is completely legal and governed by bilateral or multi-lateral access agreements between nations. </w:t>
      </w:r>
    </w:p>
    <w:p w14:paraId="2E613361" w14:textId="1A679234" w:rsidR="0039054B" w:rsidRDefault="0039054B" w:rsidP="008A768E">
      <w:pPr>
        <w:spacing w:before="120"/>
        <w:rPr>
          <w:rFonts w:ascii="Avenir Light" w:hAnsi="Avenir Light" w:cs="Arial"/>
          <w:sz w:val="20"/>
          <w:szCs w:val="20"/>
        </w:rPr>
      </w:pPr>
      <w:r>
        <w:rPr>
          <w:rFonts w:ascii="Avenir Light" w:hAnsi="Avenir Light" w:cs="Arial"/>
          <w:sz w:val="20"/>
          <w:szCs w:val="20"/>
        </w:rPr>
        <w:t xml:space="preserve">The identification of high seas fishing is fairly straightforward, but extracting fishing activity meeting the second criteria required us to make a number of assumptions. For simplicity, we use the same assumptions made by </w:t>
      </w:r>
      <w:hyperlink r:id="rId5" w:history="1">
        <w:r w:rsidRPr="00925B2E">
          <w:rPr>
            <w:rStyle w:val="Hyperlink"/>
            <w:rFonts w:ascii="Avenir Light" w:hAnsi="Avenir Light" w:cs="Arial"/>
            <w:sz w:val="20"/>
            <w:szCs w:val="20"/>
          </w:rPr>
          <w:t>Cabral et al. (201</w:t>
        </w:r>
        <w:r w:rsidR="00925B2E" w:rsidRPr="00925B2E">
          <w:rPr>
            <w:rStyle w:val="Hyperlink"/>
            <w:rFonts w:ascii="Avenir Light" w:hAnsi="Avenir Light" w:cs="Arial"/>
            <w:sz w:val="20"/>
            <w:szCs w:val="20"/>
          </w:rPr>
          <w:t>8</w:t>
        </w:r>
        <w:r w:rsidRPr="00925B2E">
          <w:rPr>
            <w:rStyle w:val="Hyperlink"/>
            <w:rFonts w:ascii="Avenir Light" w:hAnsi="Avenir Light" w:cs="Arial"/>
            <w:sz w:val="20"/>
            <w:szCs w:val="20"/>
          </w:rPr>
          <w:t>)</w:t>
        </w:r>
      </w:hyperlink>
      <w:r>
        <w:rPr>
          <w:rFonts w:ascii="Avenir Light" w:hAnsi="Avenir Light" w:cs="Arial"/>
          <w:sz w:val="20"/>
          <w:szCs w:val="20"/>
        </w:rPr>
        <w:t xml:space="preserve"> to identify distant water fishing. If any of the following conditions are met, the corresponding fishing activity is NOT considered to be distant water fishing, and is not included in this tool: </w:t>
      </w:r>
    </w:p>
    <w:p w14:paraId="083C8856" w14:textId="17D8B371" w:rsidR="0039054B" w:rsidRPr="0039054B" w:rsidRDefault="0039054B" w:rsidP="0039054B">
      <w:pPr>
        <w:numPr>
          <w:ilvl w:val="0"/>
          <w:numId w:val="12"/>
        </w:numPr>
        <w:spacing w:before="120"/>
        <w:rPr>
          <w:rFonts w:ascii="Avenir Light" w:hAnsi="Avenir Light" w:cs="Arial"/>
          <w:sz w:val="20"/>
          <w:szCs w:val="20"/>
        </w:rPr>
      </w:pPr>
      <w:r w:rsidRPr="0039054B">
        <w:rPr>
          <w:rFonts w:ascii="Avenir Light" w:hAnsi="Avenir Light" w:cs="Arial"/>
          <w:sz w:val="20"/>
          <w:szCs w:val="20"/>
        </w:rPr>
        <w:t xml:space="preserve">The </w:t>
      </w:r>
      <w:r>
        <w:rPr>
          <w:rFonts w:ascii="Avenir Light" w:hAnsi="Avenir Light" w:cs="Arial"/>
          <w:sz w:val="20"/>
          <w:szCs w:val="20"/>
        </w:rPr>
        <w:t>vessel’s flag-state</w:t>
      </w:r>
      <w:r w:rsidRPr="0039054B">
        <w:rPr>
          <w:rFonts w:ascii="Avenir Light" w:hAnsi="Avenir Light" w:cs="Arial"/>
          <w:sz w:val="20"/>
          <w:szCs w:val="20"/>
        </w:rPr>
        <w:t xml:space="preserve"> is the same as the administering state of the EEZ in which it is fishing (or one of the administering states in the case of joint regime and disputed areas); </w:t>
      </w:r>
    </w:p>
    <w:p w14:paraId="15470610" w14:textId="38D5999B" w:rsidR="0039054B" w:rsidRPr="0039054B" w:rsidRDefault="0039054B" w:rsidP="0039054B">
      <w:pPr>
        <w:numPr>
          <w:ilvl w:val="0"/>
          <w:numId w:val="12"/>
        </w:numPr>
        <w:spacing w:before="120"/>
        <w:rPr>
          <w:rFonts w:ascii="Avenir Light" w:hAnsi="Avenir Light" w:cs="Arial"/>
          <w:sz w:val="20"/>
          <w:szCs w:val="20"/>
        </w:rPr>
      </w:pPr>
      <w:r w:rsidRPr="0039054B">
        <w:rPr>
          <w:rFonts w:ascii="Avenir Light" w:hAnsi="Avenir Light" w:cs="Arial"/>
          <w:sz w:val="20"/>
          <w:szCs w:val="20"/>
        </w:rPr>
        <w:t>The sovereign</w:t>
      </w:r>
      <w:r>
        <w:rPr>
          <w:rFonts w:ascii="Avenir Light" w:hAnsi="Avenir Light" w:cs="Arial"/>
          <w:sz w:val="20"/>
          <w:szCs w:val="20"/>
        </w:rPr>
        <w:t xml:space="preserve"> of the</w:t>
      </w:r>
      <w:r w:rsidRPr="0039054B">
        <w:rPr>
          <w:rFonts w:ascii="Avenir Light" w:hAnsi="Avenir Light" w:cs="Arial"/>
          <w:sz w:val="20"/>
          <w:szCs w:val="20"/>
        </w:rPr>
        <w:t xml:space="preserve"> </w:t>
      </w:r>
      <w:r>
        <w:rPr>
          <w:rFonts w:ascii="Avenir Light" w:hAnsi="Avenir Light" w:cs="Arial"/>
          <w:sz w:val="20"/>
          <w:szCs w:val="20"/>
        </w:rPr>
        <w:t>vessel’s flag-state</w:t>
      </w:r>
      <w:r w:rsidRPr="0039054B">
        <w:rPr>
          <w:rFonts w:ascii="Avenir Light" w:hAnsi="Avenir Light" w:cs="Arial"/>
          <w:sz w:val="20"/>
          <w:szCs w:val="20"/>
        </w:rPr>
        <w:t xml:space="preserve"> is the same as the administering state of the EEZ in which it is fishing (or one of the administering states in the case of joint regime and disputed areas); </w:t>
      </w:r>
    </w:p>
    <w:p w14:paraId="60C05DD7" w14:textId="612EB252" w:rsidR="0039054B" w:rsidRPr="0039054B" w:rsidRDefault="0039054B" w:rsidP="0039054B">
      <w:pPr>
        <w:numPr>
          <w:ilvl w:val="0"/>
          <w:numId w:val="12"/>
        </w:numPr>
        <w:spacing w:before="120"/>
        <w:rPr>
          <w:rFonts w:ascii="Avenir Light" w:hAnsi="Avenir Light" w:cs="Arial"/>
          <w:sz w:val="20"/>
          <w:szCs w:val="20"/>
        </w:rPr>
      </w:pPr>
      <w:r w:rsidRPr="0039054B">
        <w:rPr>
          <w:rFonts w:ascii="Avenir Light" w:hAnsi="Avenir Light" w:cs="Arial"/>
          <w:sz w:val="20"/>
          <w:szCs w:val="20"/>
        </w:rPr>
        <w:t xml:space="preserve">The </w:t>
      </w:r>
      <w:r>
        <w:rPr>
          <w:rFonts w:ascii="Avenir Light" w:hAnsi="Avenir Light" w:cs="Arial"/>
          <w:sz w:val="20"/>
          <w:szCs w:val="20"/>
        </w:rPr>
        <w:t>vessel’s flag-state</w:t>
      </w:r>
      <w:r w:rsidRPr="0039054B">
        <w:rPr>
          <w:rFonts w:ascii="Avenir Light" w:hAnsi="Avenir Light" w:cs="Arial"/>
          <w:sz w:val="20"/>
          <w:szCs w:val="20"/>
        </w:rPr>
        <w:t xml:space="preserve"> is Norway, Svalbard and Jan Mayen, Iceland, </w:t>
      </w:r>
      <w:r>
        <w:rPr>
          <w:rFonts w:ascii="Avenir Light" w:hAnsi="Avenir Light" w:cs="Arial"/>
          <w:sz w:val="20"/>
          <w:szCs w:val="20"/>
        </w:rPr>
        <w:t xml:space="preserve">or </w:t>
      </w:r>
      <w:r w:rsidRPr="0039054B">
        <w:rPr>
          <w:rFonts w:ascii="Avenir Light" w:hAnsi="Avenir Light" w:cs="Arial"/>
          <w:sz w:val="20"/>
          <w:szCs w:val="20"/>
        </w:rPr>
        <w:t xml:space="preserve">a member state of the </w:t>
      </w:r>
      <w:r>
        <w:rPr>
          <w:rFonts w:ascii="Avenir Light" w:hAnsi="Avenir Light" w:cs="Arial"/>
          <w:sz w:val="20"/>
          <w:szCs w:val="20"/>
        </w:rPr>
        <w:t xml:space="preserve">European Union (EU) </w:t>
      </w:r>
      <w:r w:rsidRPr="0039054B">
        <w:rPr>
          <w:rFonts w:ascii="Avenir Light" w:hAnsi="Avenir Light" w:cs="Arial"/>
          <w:sz w:val="20"/>
          <w:szCs w:val="20"/>
        </w:rPr>
        <w:t>and the EEZ in which it is fishing is administered by Norway, Svalbard and Jan Mayen, Iceland</w:t>
      </w:r>
      <w:r>
        <w:rPr>
          <w:rFonts w:ascii="Avenir Light" w:hAnsi="Avenir Light" w:cs="Arial"/>
          <w:sz w:val="20"/>
          <w:szCs w:val="20"/>
        </w:rPr>
        <w:t xml:space="preserve">, or </w:t>
      </w:r>
      <w:r w:rsidRPr="0039054B">
        <w:rPr>
          <w:rFonts w:ascii="Avenir Light" w:hAnsi="Avenir Light" w:cs="Arial"/>
          <w:sz w:val="20"/>
          <w:szCs w:val="20"/>
        </w:rPr>
        <w:t xml:space="preserve">a member state of the EU (e.g., a French flagged vessel fishing in Spain’s EEZ); </w:t>
      </w:r>
    </w:p>
    <w:p w14:paraId="0B387628" w14:textId="5AA2F674" w:rsidR="0039054B" w:rsidRPr="0039054B" w:rsidRDefault="0039054B" w:rsidP="0039054B">
      <w:pPr>
        <w:numPr>
          <w:ilvl w:val="0"/>
          <w:numId w:val="12"/>
        </w:numPr>
        <w:spacing w:before="120"/>
        <w:rPr>
          <w:rFonts w:ascii="Avenir Light" w:hAnsi="Avenir Light" w:cs="Arial"/>
          <w:sz w:val="20"/>
          <w:szCs w:val="20"/>
        </w:rPr>
      </w:pPr>
      <w:r w:rsidRPr="0039054B">
        <w:rPr>
          <w:rFonts w:ascii="Avenir Light" w:hAnsi="Avenir Light" w:cs="Arial"/>
          <w:sz w:val="20"/>
          <w:szCs w:val="20"/>
        </w:rPr>
        <w:t xml:space="preserve">The sovereign </w:t>
      </w:r>
      <w:r>
        <w:rPr>
          <w:rFonts w:ascii="Avenir Light" w:hAnsi="Avenir Light" w:cs="Arial"/>
          <w:sz w:val="20"/>
          <w:szCs w:val="20"/>
        </w:rPr>
        <w:t xml:space="preserve">of the vessel’s flag-state </w:t>
      </w:r>
      <w:r w:rsidRPr="0039054B">
        <w:rPr>
          <w:rFonts w:ascii="Avenir Light" w:hAnsi="Avenir Light" w:cs="Arial"/>
          <w:sz w:val="20"/>
          <w:szCs w:val="20"/>
        </w:rPr>
        <w:t xml:space="preserve">of the vessel’s flag state is Norway, Svalbard and Jan Mayen, Iceland, </w:t>
      </w:r>
      <w:r>
        <w:rPr>
          <w:rFonts w:ascii="Avenir Light" w:hAnsi="Avenir Light" w:cs="Arial"/>
          <w:sz w:val="20"/>
          <w:szCs w:val="20"/>
        </w:rPr>
        <w:t xml:space="preserve">or </w:t>
      </w:r>
      <w:r w:rsidRPr="0039054B">
        <w:rPr>
          <w:rFonts w:ascii="Avenir Light" w:hAnsi="Avenir Light" w:cs="Arial"/>
          <w:sz w:val="20"/>
          <w:szCs w:val="20"/>
        </w:rPr>
        <w:t>a member state of the</w:t>
      </w:r>
      <w:r>
        <w:rPr>
          <w:rFonts w:ascii="Avenir Light" w:hAnsi="Avenir Light" w:cs="Arial"/>
          <w:sz w:val="20"/>
          <w:szCs w:val="20"/>
        </w:rPr>
        <w:t xml:space="preserve"> EU</w:t>
      </w:r>
      <w:r w:rsidRPr="0039054B">
        <w:rPr>
          <w:rFonts w:ascii="Avenir Light" w:hAnsi="Avenir Light" w:cs="Arial"/>
          <w:sz w:val="20"/>
          <w:szCs w:val="20"/>
        </w:rPr>
        <w:t>,</w:t>
      </w:r>
      <w:r>
        <w:rPr>
          <w:rFonts w:ascii="Avenir Light" w:hAnsi="Avenir Light" w:cs="Arial"/>
          <w:sz w:val="20"/>
          <w:szCs w:val="20"/>
        </w:rPr>
        <w:t xml:space="preserve"> </w:t>
      </w:r>
      <w:r w:rsidRPr="0039054B">
        <w:rPr>
          <w:rFonts w:ascii="Avenir Light" w:hAnsi="Avenir Light" w:cs="Arial"/>
          <w:sz w:val="20"/>
          <w:szCs w:val="20"/>
        </w:rPr>
        <w:t>and the EEZ in which it is fishing is administered Norway, Svalbard and Jan Mayen, Iceland</w:t>
      </w:r>
      <w:r>
        <w:rPr>
          <w:rFonts w:ascii="Avenir Light" w:hAnsi="Avenir Light" w:cs="Arial"/>
          <w:sz w:val="20"/>
          <w:szCs w:val="20"/>
        </w:rPr>
        <w:t xml:space="preserve">, or </w:t>
      </w:r>
      <w:r w:rsidRPr="0039054B">
        <w:rPr>
          <w:rFonts w:ascii="Avenir Light" w:hAnsi="Avenir Light" w:cs="Arial"/>
          <w:sz w:val="20"/>
          <w:szCs w:val="20"/>
        </w:rPr>
        <w:t xml:space="preserve">by a member state of the EU (e.g., a vessel flagged to the Azores fishing in Spain’s EEZ). </w:t>
      </w:r>
    </w:p>
    <w:p w14:paraId="4EF446DF" w14:textId="232B67A7" w:rsidR="0039054B" w:rsidRPr="0039054B" w:rsidRDefault="0039054B" w:rsidP="0039054B">
      <w:pPr>
        <w:spacing w:before="120"/>
        <w:rPr>
          <w:rFonts w:ascii="Avenir Light" w:hAnsi="Avenir Light" w:cs="Arial"/>
          <w:sz w:val="20"/>
          <w:szCs w:val="20"/>
        </w:rPr>
      </w:pPr>
      <w:r>
        <w:rPr>
          <w:rFonts w:ascii="Avenir Light" w:hAnsi="Avenir Light" w:cs="Arial"/>
          <w:sz w:val="20"/>
          <w:szCs w:val="20"/>
        </w:rPr>
        <w:t>Therefore, our</w:t>
      </w:r>
      <w:r w:rsidRPr="0039054B">
        <w:rPr>
          <w:rFonts w:ascii="Avenir Light" w:hAnsi="Avenir Light" w:cs="Arial"/>
          <w:sz w:val="20"/>
          <w:szCs w:val="20"/>
        </w:rPr>
        <w:t xml:space="preserve"> definition of distant water fishing does include “sovereign fishing”</w:t>
      </w:r>
      <w:r>
        <w:rPr>
          <w:rFonts w:ascii="Avenir Light" w:hAnsi="Avenir Light" w:cs="Arial"/>
          <w:sz w:val="20"/>
          <w:szCs w:val="20"/>
        </w:rPr>
        <w:t xml:space="preserve"> and that is therefore captured in this tool</w:t>
      </w:r>
      <w:r w:rsidRPr="0039054B">
        <w:rPr>
          <w:rFonts w:ascii="Avenir Light" w:hAnsi="Avenir Light" w:cs="Arial"/>
          <w:sz w:val="20"/>
          <w:szCs w:val="20"/>
        </w:rPr>
        <w:t xml:space="preserve">. Even if the </w:t>
      </w:r>
      <w:r>
        <w:rPr>
          <w:rFonts w:ascii="Avenir Light" w:hAnsi="Avenir Light" w:cs="Arial"/>
          <w:sz w:val="20"/>
          <w:szCs w:val="20"/>
        </w:rPr>
        <w:t xml:space="preserve">flag-state of the </w:t>
      </w:r>
      <w:r w:rsidRPr="0039054B">
        <w:rPr>
          <w:rFonts w:ascii="Avenir Light" w:hAnsi="Avenir Light" w:cs="Arial"/>
          <w:sz w:val="20"/>
          <w:szCs w:val="20"/>
        </w:rPr>
        <w:t xml:space="preserve">vessel and </w:t>
      </w:r>
      <w:r>
        <w:rPr>
          <w:rFonts w:ascii="Avenir Light" w:hAnsi="Avenir Light" w:cs="Arial"/>
          <w:sz w:val="20"/>
          <w:szCs w:val="20"/>
        </w:rPr>
        <w:t xml:space="preserve">the </w:t>
      </w:r>
      <w:r w:rsidRPr="0039054B">
        <w:rPr>
          <w:rFonts w:ascii="Avenir Light" w:hAnsi="Avenir Light" w:cs="Arial"/>
          <w:sz w:val="20"/>
          <w:szCs w:val="20"/>
        </w:rPr>
        <w:t xml:space="preserve">EEZ in which </w:t>
      </w:r>
      <w:r>
        <w:rPr>
          <w:rFonts w:ascii="Avenir Light" w:hAnsi="Avenir Light" w:cs="Arial"/>
          <w:sz w:val="20"/>
          <w:szCs w:val="20"/>
        </w:rPr>
        <w:t>that vessel</w:t>
      </w:r>
      <w:r w:rsidRPr="0039054B">
        <w:rPr>
          <w:rFonts w:ascii="Avenir Light" w:hAnsi="Avenir Light" w:cs="Arial"/>
          <w:sz w:val="20"/>
          <w:szCs w:val="20"/>
        </w:rPr>
        <w:t xml:space="preserve"> is fishing share a sovereign state, we consider this activity to be distant water fishing</w:t>
      </w:r>
      <w:r w:rsidR="00F37027">
        <w:rPr>
          <w:rFonts w:ascii="Avenir Light" w:hAnsi="Avenir Light" w:cs="Arial"/>
          <w:sz w:val="20"/>
          <w:szCs w:val="20"/>
        </w:rPr>
        <w:t xml:space="preserve">. </w:t>
      </w:r>
      <w:r w:rsidRPr="0039054B">
        <w:rPr>
          <w:rFonts w:ascii="Avenir Light" w:hAnsi="Avenir Light" w:cs="Arial"/>
          <w:sz w:val="20"/>
          <w:szCs w:val="20"/>
        </w:rPr>
        <w:t xml:space="preserve">Therefore, when either of the following conditions are met, we DO consider the activity to be distant water fishing: </w:t>
      </w:r>
    </w:p>
    <w:p w14:paraId="1264D303" w14:textId="03252C9C" w:rsidR="00F37027" w:rsidRDefault="0039054B" w:rsidP="00F37027">
      <w:pPr>
        <w:pStyle w:val="ListParagraph"/>
        <w:numPr>
          <w:ilvl w:val="0"/>
          <w:numId w:val="14"/>
        </w:numPr>
        <w:spacing w:before="120"/>
        <w:rPr>
          <w:rFonts w:ascii="Avenir Light" w:hAnsi="Avenir Light" w:cs="Arial"/>
          <w:sz w:val="20"/>
          <w:szCs w:val="20"/>
        </w:rPr>
      </w:pPr>
      <w:r w:rsidRPr="00F37027">
        <w:rPr>
          <w:rFonts w:ascii="Avenir Light" w:hAnsi="Avenir Light" w:cs="Arial"/>
          <w:sz w:val="20"/>
          <w:szCs w:val="20"/>
        </w:rPr>
        <w:t>The vessel</w:t>
      </w:r>
      <w:r w:rsidR="00F37027">
        <w:rPr>
          <w:rFonts w:ascii="Avenir Light" w:hAnsi="Avenir Light" w:cs="Arial"/>
          <w:sz w:val="20"/>
          <w:szCs w:val="20"/>
        </w:rPr>
        <w:t>’s flag-state</w:t>
      </w:r>
      <w:r w:rsidRPr="00F37027">
        <w:rPr>
          <w:rFonts w:ascii="Avenir Light" w:hAnsi="Avenir Light" w:cs="Arial"/>
          <w:sz w:val="20"/>
          <w:szCs w:val="20"/>
        </w:rPr>
        <w:t xml:space="preserve"> is also the sovereign of the administering </w:t>
      </w:r>
      <w:r w:rsidR="00F37027">
        <w:rPr>
          <w:rFonts w:ascii="Avenir Light" w:hAnsi="Avenir Light" w:cs="Arial"/>
          <w:sz w:val="20"/>
          <w:szCs w:val="20"/>
        </w:rPr>
        <w:t>state</w:t>
      </w:r>
      <w:r w:rsidRPr="00F37027">
        <w:rPr>
          <w:rFonts w:ascii="Avenir Light" w:hAnsi="Avenir Light" w:cs="Arial"/>
          <w:sz w:val="20"/>
          <w:szCs w:val="20"/>
        </w:rPr>
        <w:t xml:space="preserve"> of the EEZ in which it is fishing (e.g.</w:t>
      </w:r>
      <w:r w:rsidR="00F37027">
        <w:rPr>
          <w:rFonts w:ascii="Avenir Light" w:hAnsi="Avenir Light" w:cs="Arial"/>
          <w:sz w:val="20"/>
          <w:szCs w:val="20"/>
        </w:rPr>
        <w:t>,</w:t>
      </w:r>
      <w:r w:rsidRPr="00F37027">
        <w:rPr>
          <w:rFonts w:ascii="Avenir Light" w:hAnsi="Avenir Light" w:cs="Arial"/>
          <w:sz w:val="20"/>
          <w:szCs w:val="20"/>
        </w:rPr>
        <w:t xml:space="preserve"> a US flagged vessel fishing in the EEZ of Palmyra Atoll)</w:t>
      </w:r>
      <w:r w:rsidR="00F37027">
        <w:rPr>
          <w:rFonts w:ascii="Avenir Light" w:hAnsi="Avenir Light" w:cs="Arial"/>
          <w:sz w:val="20"/>
          <w:szCs w:val="20"/>
        </w:rPr>
        <w:t>;</w:t>
      </w:r>
    </w:p>
    <w:p w14:paraId="597D729E" w14:textId="7B407882" w:rsidR="008A768E" w:rsidRDefault="0039054B" w:rsidP="00F37027">
      <w:pPr>
        <w:pStyle w:val="ListParagraph"/>
        <w:numPr>
          <w:ilvl w:val="0"/>
          <w:numId w:val="14"/>
        </w:numPr>
        <w:spacing w:before="120"/>
        <w:rPr>
          <w:rFonts w:ascii="Avenir Light" w:hAnsi="Avenir Light" w:cs="Arial"/>
          <w:sz w:val="20"/>
          <w:szCs w:val="20"/>
        </w:rPr>
      </w:pPr>
      <w:r w:rsidRPr="00F37027">
        <w:rPr>
          <w:rFonts w:ascii="Avenir Light" w:hAnsi="Avenir Light" w:cs="Arial"/>
          <w:sz w:val="20"/>
          <w:szCs w:val="20"/>
        </w:rPr>
        <w:t>The sovereign of the vessel’s flag</w:t>
      </w:r>
      <w:r w:rsidR="00F37027">
        <w:rPr>
          <w:rFonts w:ascii="Avenir Light" w:hAnsi="Avenir Light" w:cs="Arial"/>
          <w:sz w:val="20"/>
          <w:szCs w:val="20"/>
        </w:rPr>
        <w:t>-</w:t>
      </w:r>
      <w:r w:rsidRPr="00F37027">
        <w:rPr>
          <w:rFonts w:ascii="Avenir Light" w:hAnsi="Avenir Light" w:cs="Arial"/>
          <w:sz w:val="20"/>
          <w:szCs w:val="20"/>
        </w:rPr>
        <w:t xml:space="preserve">state is also the sovereign of the administering </w:t>
      </w:r>
      <w:r w:rsidR="00F37027">
        <w:rPr>
          <w:rFonts w:ascii="Avenir Light" w:hAnsi="Avenir Light" w:cs="Arial"/>
          <w:sz w:val="20"/>
          <w:szCs w:val="20"/>
        </w:rPr>
        <w:t>state</w:t>
      </w:r>
      <w:r w:rsidRPr="00F37027">
        <w:rPr>
          <w:rFonts w:ascii="Avenir Light" w:hAnsi="Avenir Light" w:cs="Arial"/>
          <w:sz w:val="20"/>
          <w:szCs w:val="20"/>
        </w:rPr>
        <w:t xml:space="preserve"> of the EEZ in which it is fishing (e.g.</w:t>
      </w:r>
      <w:r w:rsidR="00F37027">
        <w:rPr>
          <w:rFonts w:ascii="Avenir Light" w:hAnsi="Avenir Light" w:cs="Arial"/>
          <w:sz w:val="20"/>
          <w:szCs w:val="20"/>
        </w:rPr>
        <w:t>,</w:t>
      </w:r>
      <w:r w:rsidRPr="00F37027">
        <w:rPr>
          <w:rFonts w:ascii="Avenir Light" w:hAnsi="Avenir Light" w:cs="Arial"/>
          <w:sz w:val="20"/>
          <w:szCs w:val="20"/>
        </w:rPr>
        <w:t xml:space="preserve"> a Puerto-Rican flagged vessel fishing in the EEZ of Palmyra Atoll). </w:t>
      </w:r>
    </w:p>
    <w:p w14:paraId="735C014B" w14:textId="77777777" w:rsidR="00F37027" w:rsidRPr="00F37027" w:rsidRDefault="00F37027" w:rsidP="00F37027">
      <w:pPr>
        <w:spacing w:before="120"/>
        <w:rPr>
          <w:rFonts w:ascii="Avenir Light" w:hAnsi="Avenir Light" w:cs="Arial"/>
          <w:sz w:val="20"/>
          <w:szCs w:val="20"/>
        </w:rPr>
      </w:pPr>
    </w:p>
    <w:p w14:paraId="27CAD1F3" w14:textId="6C494CE7" w:rsidR="008A768E" w:rsidRPr="008A768E" w:rsidRDefault="008A768E" w:rsidP="008A768E">
      <w:pPr>
        <w:spacing w:before="120"/>
        <w:rPr>
          <w:rFonts w:ascii="Avenir Light" w:hAnsi="Avenir Light" w:cs="Arial"/>
          <w:b/>
          <w:sz w:val="20"/>
          <w:szCs w:val="20"/>
        </w:rPr>
      </w:pPr>
      <w:r>
        <w:rPr>
          <w:rFonts w:ascii="Avenir Light" w:hAnsi="Avenir Light" w:cs="Arial"/>
          <w:b/>
          <w:sz w:val="20"/>
          <w:szCs w:val="20"/>
        </w:rPr>
        <w:t>Estimating Subsidy Allocations</w:t>
      </w:r>
    </w:p>
    <w:p w14:paraId="01A4AA65" w14:textId="462218E2" w:rsidR="00F754F3" w:rsidRDefault="008A768E" w:rsidP="00371521">
      <w:pPr>
        <w:spacing w:before="120"/>
        <w:rPr>
          <w:rFonts w:ascii="Avenir Light" w:hAnsi="Avenir Light" w:cs="Arial"/>
          <w:sz w:val="20"/>
          <w:szCs w:val="20"/>
        </w:rPr>
      </w:pPr>
      <w:r>
        <w:rPr>
          <w:rFonts w:ascii="Avenir Light" w:hAnsi="Avenir Light" w:cs="Arial"/>
          <w:sz w:val="20"/>
          <w:szCs w:val="20"/>
        </w:rPr>
        <w:t xml:space="preserve">A global database with the types and magnitudes of subsidies provided to </w:t>
      </w:r>
      <w:r w:rsidR="00F37027">
        <w:rPr>
          <w:rFonts w:ascii="Avenir Light" w:hAnsi="Avenir Light" w:cs="Arial"/>
          <w:sz w:val="20"/>
          <w:szCs w:val="20"/>
        </w:rPr>
        <w:t>individual</w:t>
      </w:r>
      <w:r>
        <w:rPr>
          <w:rFonts w:ascii="Avenir Light" w:hAnsi="Avenir Light" w:cs="Arial"/>
          <w:sz w:val="20"/>
          <w:szCs w:val="20"/>
        </w:rPr>
        <w:t xml:space="preserve"> vessels </w:t>
      </w:r>
      <w:r w:rsidR="00F37027">
        <w:rPr>
          <w:rFonts w:ascii="Avenir Light" w:hAnsi="Avenir Light" w:cs="Arial"/>
          <w:sz w:val="20"/>
          <w:szCs w:val="20"/>
        </w:rPr>
        <w:t xml:space="preserve">(particularly distant-water vessels) </w:t>
      </w:r>
      <w:r>
        <w:rPr>
          <w:rFonts w:ascii="Avenir Light" w:hAnsi="Avenir Light" w:cs="Arial"/>
          <w:sz w:val="20"/>
          <w:szCs w:val="20"/>
        </w:rPr>
        <w:t xml:space="preserve">does not exist. We </w:t>
      </w:r>
      <w:r w:rsidR="00F37027">
        <w:rPr>
          <w:rFonts w:ascii="Avenir Light" w:hAnsi="Avenir Light" w:cs="Arial"/>
          <w:sz w:val="20"/>
          <w:szCs w:val="20"/>
        </w:rPr>
        <w:t xml:space="preserve">therefore </w:t>
      </w:r>
      <w:r>
        <w:rPr>
          <w:rFonts w:ascii="Avenir Light" w:hAnsi="Avenir Light" w:cs="Arial"/>
          <w:sz w:val="20"/>
          <w:szCs w:val="20"/>
        </w:rPr>
        <w:t xml:space="preserve">overcome this with a series of assumptions regarding how subsidies are allocated </w:t>
      </w:r>
      <w:r w:rsidR="00F754F3">
        <w:rPr>
          <w:rFonts w:ascii="Avenir Light" w:hAnsi="Avenir Light" w:cs="Arial"/>
          <w:sz w:val="20"/>
          <w:szCs w:val="20"/>
        </w:rPr>
        <w:t>to all vessels in our global database of industrial fishing vessels derived from Global Fishing Watch (GFW)</w:t>
      </w:r>
      <w:r w:rsidR="00F37027">
        <w:rPr>
          <w:rFonts w:ascii="Avenir Light" w:hAnsi="Avenir Light" w:cs="Arial"/>
          <w:sz w:val="20"/>
          <w:szCs w:val="20"/>
        </w:rPr>
        <w:t xml:space="preserve">. </w:t>
      </w:r>
      <w:r w:rsidR="00F754F3">
        <w:rPr>
          <w:rFonts w:ascii="Avenir Light" w:hAnsi="Avenir Light" w:cs="Arial"/>
          <w:sz w:val="20"/>
          <w:szCs w:val="20"/>
        </w:rPr>
        <w:t xml:space="preserve">Our methods used to allocate subsidies are based on those used by </w:t>
      </w:r>
      <w:hyperlink r:id="rId6" w:history="1">
        <w:r w:rsidR="00F754F3" w:rsidRPr="00A972AF">
          <w:rPr>
            <w:rStyle w:val="Hyperlink"/>
            <w:rFonts w:ascii="Avenir Light" w:hAnsi="Avenir Light" w:cs="Arial"/>
            <w:sz w:val="20"/>
            <w:szCs w:val="20"/>
          </w:rPr>
          <w:t>Sala et al. (2018)</w:t>
        </w:r>
      </w:hyperlink>
      <w:r w:rsidR="00F754F3">
        <w:rPr>
          <w:rFonts w:ascii="Avenir Light" w:hAnsi="Avenir Light" w:cs="Arial"/>
          <w:sz w:val="20"/>
          <w:szCs w:val="20"/>
        </w:rPr>
        <w:t xml:space="preserve">. We first identify the magnitudes of subsidies for each fishing nation estimated by </w:t>
      </w:r>
      <w:hyperlink r:id="rId7" w:history="1">
        <w:proofErr w:type="spellStart"/>
        <w:r w:rsidR="00F754F3" w:rsidRPr="00A972AF">
          <w:rPr>
            <w:rStyle w:val="Hyperlink"/>
            <w:rFonts w:ascii="Avenir Light" w:hAnsi="Avenir Light" w:cs="Arial"/>
            <w:sz w:val="20"/>
            <w:szCs w:val="20"/>
          </w:rPr>
          <w:t>Sumaila</w:t>
        </w:r>
        <w:proofErr w:type="spellEnd"/>
        <w:r w:rsidR="00F754F3" w:rsidRPr="00A972AF">
          <w:rPr>
            <w:rStyle w:val="Hyperlink"/>
            <w:rFonts w:ascii="Avenir Light" w:hAnsi="Avenir Light" w:cs="Arial"/>
            <w:sz w:val="20"/>
            <w:szCs w:val="20"/>
          </w:rPr>
          <w:t xml:space="preserve"> et al. (2019)</w:t>
        </w:r>
      </w:hyperlink>
      <w:r w:rsidR="00F754F3">
        <w:rPr>
          <w:rFonts w:ascii="Avenir Light" w:hAnsi="Avenir Light" w:cs="Arial"/>
          <w:sz w:val="20"/>
          <w:szCs w:val="20"/>
        </w:rPr>
        <w:t xml:space="preserve"> that were provided to large-scale fisheries based on the breakdown from </w:t>
      </w:r>
      <w:hyperlink r:id="rId8" w:history="1">
        <w:proofErr w:type="spellStart"/>
        <w:r w:rsidR="00F754F3" w:rsidRPr="00A972AF">
          <w:rPr>
            <w:rStyle w:val="Hyperlink"/>
            <w:rFonts w:ascii="Avenir Light" w:hAnsi="Avenir Light" w:cs="Arial"/>
            <w:sz w:val="20"/>
            <w:szCs w:val="20"/>
          </w:rPr>
          <w:t>Schuhbauer</w:t>
        </w:r>
        <w:proofErr w:type="spellEnd"/>
        <w:r w:rsidR="00F754F3" w:rsidRPr="00A972AF">
          <w:rPr>
            <w:rStyle w:val="Hyperlink"/>
            <w:rFonts w:ascii="Avenir Light" w:hAnsi="Avenir Light" w:cs="Arial"/>
            <w:sz w:val="20"/>
            <w:szCs w:val="20"/>
          </w:rPr>
          <w:t xml:space="preserve"> et al. (2020)</w:t>
        </w:r>
      </w:hyperlink>
      <w:r w:rsidR="00F754F3">
        <w:rPr>
          <w:rFonts w:ascii="Avenir Light" w:hAnsi="Avenir Light" w:cs="Arial"/>
          <w:sz w:val="20"/>
          <w:szCs w:val="20"/>
        </w:rPr>
        <w:t xml:space="preserve">. We then extract information on all vessels from GFW that fulfill certain quality criteria to create our global vessel database, which we assume to be representative of the entirety of the global large-scale fishing fleet. Using this global vessel database, we then calculate the total annual amount of large-scale fishing effort (in kWh) for each flag-state. Then we calculate the ratio of large-scale fisheries subsidies to total fishing effort for each state and subsidy type. These subsidy rates (in </w:t>
      </w:r>
      <w:proofErr w:type="gramStart"/>
      <w:r w:rsidR="00F754F3">
        <w:rPr>
          <w:rFonts w:ascii="Avenir Light" w:hAnsi="Avenir Light" w:cs="Arial"/>
          <w:sz w:val="20"/>
          <w:szCs w:val="20"/>
        </w:rPr>
        <w:t>units</w:t>
      </w:r>
      <w:proofErr w:type="gramEnd"/>
      <w:r w:rsidR="00F754F3">
        <w:rPr>
          <w:rFonts w:ascii="Avenir Light" w:hAnsi="Avenir Light" w:cs="Arial"/>
          <w:sz w:val="20"/>
          <w:szCs w:val="20"/>
        </w:rPr>
        <w:t xml:space="preserve"> of 2018 USD/kWh) are then applied to all vessels on our global vessel list by flag state. Each vessel’s annual fishing effort is then used to calculate an estimate of the monetary value of subsidies that vessel received. We then isolate just the vessels and activity that meet the distant water fishing criteria outlined above. </w:t>
      </w:r>
      <w:r w:rsidR="00F754F3" w:rsidRPr="00371521">
        <w:rPr>
          <w:rFonts w:ascii="Avenir Light" w:hAnsi="Avenir Light" w:cs="Arial"/>
          <w:bCs/>
          <w:sz w:val="20"/>
          <w:szCs w:val="20"/>
        </w:rPr>
        <w:t>Note:</w:t>
      </w:r>
      <w:r w:rsidR="00F754F3" w:rsidRPr="00DD56BE">
        <w:rPr>
          <w:rFonts w:ascii="Avenir Light" w:hAnsi="Avenir Light" w:cs="Arial"/>
          <w:sz w:val="20"/>
          <w:szCs w:val="20"/>
        </w:rPr>
        <w:t xml:space="preserve"> </w:t>
      </w:r>
      <w:r w:rsidR="00F754F3">
        <w:rPr>
          <w:rFonts w:ascii="Avenir Light" w:hAnsi="Avenir Light" w:cs="Arial"/>
          <w:sz w:val="20"/>
          <w:szCs w:val="20"/>
        </w:rPr>
        <w:t>O</w:t>
      </w:r>
      <w:r w:rsidR="00F754F3" w:rsidRPr="00DD56BE">
        <w:rPr>
          <w:rFonts w:ascii="Avenir Light" w:hAnsi="Avenir Light" w:cs="Arial"/>
          <w:sz w:val="20"/>
          <w:szCs w:val="20"/>
        </w:rPr>
        <w:t>nly capacity-enhancing subsidies are included in the value of subsidies shown</w:t>
      </w:r>
      <w:r w:rsidR="00371521">
        <w:rPr>
          <w:rFonts w:ascii="Avenir Light" w:hAnsi="Avenir Light" w:cs="Arial"/>
          <w:sz w:val="20"/>
          <w:szCs w:val="20"/>
        </w:rPr>
        <w:t xml:space="preserve">. </w:t>
      </w:r>
      <w:r w:rsidR="00371521" w:rsidRPr="00371521">
        <w:rPr>
          <w:rFonts w:ascii="Avenir Light" w:hAnsi="Avenir Light" w:cs="Arial"/>
          <w:b/>
          <w:sz w:val="20"/>
          <w:szCs w:val="20"/>
        </w:rPr>
        <w:t xml:space="preserve">This approach assumes that all vessels </w:t>
      </w:r>
      <w:r w:rsidR="00371521">
        <w:rPr>
          <w:rFonts w:ascii="Avenir Light" w:hAnsi="Avenir Light" w:cs="Arial"/>
          <w:b/>
          <w:sz w:val="20"/>
          <w:szCs w:val="20"/>
        </w:rPr>
        <w:t>are subsidized solely by</w:t>
      </w:r>
      <w:r w:rsidR="00371521" w:rsidRPr="00371521">
        <w:rPr>
          <w:rFonts w:ascii="Avenir Light" w:hAnsi="Avenir Light" w:cs="Arial"/>
          <w:b/>
          <w:sz w:val="20"/>
          <w:szCs w:val="20"/>
        </w:rPr>
        <w:t xml:space="preserve"> their flag-state.</w:t>
      </w:r>
      <w:r w:rsidR="00371521">
        <w:rPr>
          <w:rFonts w:ascii="Avenir Light" w:hAnsi="Avenir Light" w:cs="Arial"/>
          <w:sz w:val="20"/>
          <w:szCs w:val="20"/>
        </w:rPr>
        <w:t xml:space="preserve">  </w:t>
      </w:r>
    </w:p>
    <w:p w14:paraId="075F7B33" w14:textId="77777777" w:rsidR="00F37027" w:rsidRDefault="00F37027" w:rsidP="008A768E">
      <w:pPr>
        <w:spacing w:before="120"/>
        <w:rPr>
          <w:rFonts w:ascii="Avenir Light" w:hAnsi="Avenir Light" w:cs="Arial"/>
          <w:sz w:val="20"/>
          <w:szCs w:val="20"/>
        </w:rPr>
      </w:pPr>
    </w:p>
    <w:p w14:paraId="2377F832" w14:textId="09E62008" w:rsidR="008A768E" w:rsidRDefault="008A768E" w:rsidP="008A768E">
      <w:pPr>
        <w:spacing w:before="120"/>
        <w:rPr>
          <w:rFonts w:ascii="Avenir Light" w:hAnsi="Avenir Light" w:cs="Arial"/>
          <w:b/>
          <w:sz w:val="20"/>
          <w:szCs w:val="20"/>
        </w:rPr>
      </w:pPr>
      <w:r>
        <w:rPr>
          <w:rFonts w:ascii="Avenir Light" w:hAnsi="Avenir Light" w:cs="Arial"/>
          <w:b/>
          <w:sz w:val="20"/>
          <w:szCs w:val="20"/>
        </w:rPr>
        <w:t xml:space="preserve">Flags of Convenience </w:t>
      </w:r>
    </w:p>
    <w:p w14:paraId="5C679092" w14:textId="1DA249CC" w:rsidR="00F754F3" w:rsidRDefault="00F754F3" w:rsidP="008A768E">
      <w:pPr>
        <w:spacing w:before="120"/>
        <w:rPr>
          <w:rFonts w:ascii="Avenir Light" w:hAnsi="Avenir Light" w:cs="Arial"/>
          <w:sz w:val="20"/>
          <w:szCs w:val="20"/>
        </w:rPr>
      </w:pPr>
      <w:r w:rsidRPr="00F754F3">
        <w:rPr>
          <w:rFonts w:ascii="Avenir Light" w:hAnsi="Avenir Light" w:cs="Arial"/>
          <w:sz w:val="20"/>
          <w:szCs w:val="20"/>
        </w:rPr>
        <w:t xml:space="preserve">A key </w:t>
      </w:r>
      <w:r w:rsidR="00371521">
        <w:rPr>
          <w:rFonts w:ascii="Avenir Light" w:hAnsi="Avenir Light" w:cs="Arial"/>
          <w:sz w:val="20"/>
          <w:szCs w:val="20"/>
        </w:rPr>
        <w:t>limitation regarding our</w:t>
      </w:r>
      <w:r>
        <w:rPr>
          <w:rFonts w:ascii="Avenir Light" w:hAnsi="Avenir Light" w:cs="Arial"/>
          <w:sz w:val="20"/>
          <w:szCs w:val="20"/>
        </w:rPr>
        <w:t xml:space="preserve"> </w:t>
      </w:r>
      <w:r w:rsidR="00371521">
        <w:rPr>
          <w:rFonts w:ascii="Avenir Light" w:hAnsi="Avenir Light" w:cs="Arial"/>
          <w:sz w:val="20"/>
          <w:szCs w:val="20"/>
        </w:rPr>
        <w:t xml:space="preserve">assumptions about how to define distant water fishing and how to estimate subsidy allocations comes from the fact that many states choose to register their fishing vessels in locations where the costs to do so are lower and/or regulations are less stringent. These states are often referred to as “flags of convenience”. In reality, vessels flying a flag of convenience are usually subsidized by the state from which the vessel’s owner (and/or operator) originates, which our approach </w:t>
      </w:r>
      <w:r w:rsidR="00862C30">
        <w:rPr>
          <w:rFonts w:ascii="Avenir Light" w:hAnsi="Avenir Light" w:cs="Arial"/>
          <w:sz w:val="20"/>
          <w:szCs w:val="20"/>
        </w:rPr>
        <w:t>cannot</w:t>
      </w:r>
      <w:r w:rsidR="00371521">
        <w:rPr>
          <w:rFonts w:ascii="Avenir Light" w:hAnsi="Avenir Light" w:cs="Arial"/>
          <w:sz w:val="20"/>
          <w:szCs w:val="20"/>
        </w:rPr>
        <w:t xml:space="preserve"> capture. There is very little data globally on vessel ownership, making </w:t>
      </w:r>
      <w:r w:rsidR="00862C30">
        <w:rPr>
          <w:rFonts w:ascii="Avenir Light" w:hAnsi="Avenir Light" w:cs="Arial"/>
          <w:sz w:val="20"/>
          <w:szCs w:val="20"/>
        </w:rPr>
        <w:t xml:space="preserve">such attributions for the purposes of subsidy allocation untenable. </w:t>
      </w:r>
      <w:r w:rsidR="00371521">
        <w:rPr>
          <w:rFonts w:ascii="Avenir Light" w:hAnsi="Avenir Light" w:cs="Arial"/>
          <w:sz w:val="20"/>
          <w:szCs w:val="20"/>
        </w:rPr>
        <w:t xml:space="preserve">Flags </w:t>
      </w:r>
      <w:r w:rsidR="00862C30">
        <w:rPr>
          <w:rFonts w:ascii="Avenir Light" w:hAnsi="Avenir Light" w:cs="Arial"/>
          <w:sz w:val="20"/>
          <w:szCs w:val="20"/>
        </w:rPr>
        <w:t xml:space="preserve">of convenience potentially pose another problem for our analysis because they could lead to the accidental inclusion of vessels that are not actually engaged in distant water fishing in this tool (e.g., a Chinese owned vessel flagged to Vanuatu fishing in the EEZ of China), or alternatively, the accidental exclusion of vessels that are likely engaged in distant water fishing (e.g., a Chinese owned vessel flagged to Vanuatu fishing in the EEZ of Vanuatu). </w:t>
      </w:r>
    </w:p>
    <w:p w14:paraId="428E8CE1" w14:textId="124D3C51" w:rsidR="00862C30" w:rsidRPr="00F754F3" w:rsidRDefault="00862C30" w:rsidP="008A768E">
      <w:pPr>
        <w:spacing w:before="120"/>
        <w:rPr>
          <w:rFonts w:ascii="Avenir Light" w:hAnsi="Avenir Light" w:cs="Arial"/>
          <w:sz w:val="20"/>
          <w:szCs w:val="20"/>
        </w:rPr>
      </w:pPr>
      <w:r>
        <w:rPr>
          <w:rFonts w:ascii="Avenir Light" w:hAnsi="Avenir Light" w:cs="Arial"/>
          <w:sz w:val="20"/>
          <w:szCs w:val="20"/>
        </w:rPr>
        <w:t>We recognize that the inability to capture flags of convenience is a major limitation of our analysis, but did not feel that it was one we could remedy with defensible assumptions given existing data. A definitive list of states that should be considered to flags of convive</w:t>
      </w:r>
      <w:bookmarkStart w:id="0" w:name="_GoBack"/>
      <w:bookmarkEnd w:id="0"/>
      <w:r>
        <w:rPr>
          <w:rFonts w:ascii="Avenir Light" w:hAnsi="Avenir Light" w:cs="Arial"/>
          <w:sz w:val="20"/>
          <w:szCs w:val="20"/>
        </w:rPr>
        <w:t xml:space="preserve">nce does not exist, particularly not one agreed upon by all WTO Members. For those that are interested in which states represented in our data might be considered to be flags of convenience to some parties, the </w:t>
      </w:r>
      <w:hyperlink r:id="rId9" w:history="1">
        <w:r w:rsidRPr="00862C30">
          <w:rPr>
            <w:rStyle w:val="Hyperlink"/>
            <w:rFonts w:ascii="Avenir Light" w:hAnsi="Avenir Light" w:cs="Arial"/>
            <w:sz w:val="20"/>
            <w:szCs w:val="20"/>
          </w:rPr>
          <w:t>International Transport Workers’ Federation</w:t>
        </w:r>
      </w:hyperlink>
      <w:r>
        <w:rPr>
          <w:rFonts w:ascii="Avenir Light" w:hAnsi="Avenir Light" w:cs="Arial"/>
          <w:sz w:val="20"/>
          <w:szCs w:val="20"/>
        </w:rPr>
        <w:t xml:space="preserve"> has created their own list of such states.   </w:t>
      </w:r>
    </w:p>
    <w:p w14:paraId="211BF44F" w14:textId="34CC0034" w:rsidR="00D23B6D" w:rsidRPr="001B314B" w:rsidRDefault="00D23B6D" w:rsidP="00DB02E3">
      <w:pPr>
        <w:spacing w:before="120"/>
        <w:rPr>
          <w:rFonts w:ascii="Avenir Light" w:hAnsi="Avenir Light" w:cs="Arial"/>
          <w:b/>
        </w:rPr>
      </w:pPr>
    </w:p>
    <w:sectPr w:rsidR="00D23B6D" w:rsidRPr="001B314B" w:rsidSect="00D6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venir Light">
    <w:panose1 w:val="020B0402020203020204"/>
    <w:charset w:val="4D"/>
    <w:family w:val="swiss"/>
    <w:pitch w:val="variable"/>
    <w:sig w:usb0="800000A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BEAE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BAEB87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BA26C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A40A9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060B2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27EDC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D687B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DAD8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A0BF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5869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27879"/>
    <w:multiLevelType w:val="multilevel"/>
    <w:tmpl w:val="3260F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880CC8"/>
    <w:multiLevelType w:val="multilevel"/>
    <w:tmpl w:val="2A182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3651F3"/>
    <w:multiLevelType w:val="hybridMultilevel"/>
    <w:tmpl w:val="824286BA"/>
    <w:lvl w:ilvl="0" w:tplc="0E88B662">
      <w:numFmt w:val="bullet"/>
      <w:lvlText w:val="-"/>
      <w:lvlJc w:val="left"/>
      <w:pPr>
        <w:ind w:left="720" w:hanging="360"/>
      </w:pPr>
      <w:rPr>
        <w:rFonts w:ascii="Avenir Light" w:eastAsiaTheme="minorHAnsi" w:hAnsi="Avenir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D909CC"/>
    <w:multiLevelType w:val="hybridMultilevel"/>
    <w:tmpl w:val="33DCD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2"/>
  </w:num>
  <w:num w:numId="12">
    <w:abstractNumId w:val="11"/>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46"/>
    <w:rsid w:val="00166E91"/>
    <w:rsid w:val="001B314B"/>
    <w:rsid w:val="0023035C"/>
    <w:rsid w:val="00274BA1"/>
    <w:rsid w:val="002F0BBC"/>
    <w:rsid w:val="00326C36"/>
    <w:rsid w:val="00371521"/>
    <w:rsid w:val="0037306A"/>
    <w:rsid w:val="0039054B"/>
    <w:rsid w:val="003B00B0"/>
    <w:rsid w:val="003E1C70"/>
    <w:rsid w:val="00456AB1"/>
    <w:rsid w:val="00474DD8"/>
    <w:rsid w:val="00494AAF"/>
    <w:rsid w:val="004A6B50"/>
    <w:rsid w:val="00584202"/>
    <w:rsid w:val="005D7046"/>
    <w:rsid w:val="00661F6B"/>
    <w:rsid w:val="00835405"/>
    <w:rsid w:val="00862C30"/>
    <w:rsid w:val="00886014"/>
    <w:rsid w:val="008A768E"/>
    <w:rsid w:val="00925B2E"/>
    <w:rsid w:val="009430F1"/>
    <w:rsid w:val="009C2823"/>
    <w:rsid w:val="00A96954"/>
    <w:rsid w:val="00B02A16"/>
    <w:rsid w:val="00BD6B39"/>
    <w:rsid w:val="00C03F11"/>
    <w:rsid w:val="00C320B2"/>
    <w:rsid w:val="00C94DBF"/>
    <w:rsid w:val="00CB0B0C"/>
    <w:rsid w:val="00CC4DCB"/>
    <w:rsid w:val="00D23B6D"/>
    <w:rsid w:val="00D60543"/>
    <w:rsid w:val="00D8341C"/>
    <w:rsid w:val="00DB02E3"/>
    <w:rsid w:val="00DC5DFE"/>
    <w:rsid w:val="00F37027"/>
    <w:rsid w:val="00F55F43"/>
    <w:rsid w:val="00F754F3"/>
    <w:rsid w:val="00FC6CEE"/>
    <w:rsid w:val="00FD4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5C3"/>
  <w15:chartTrackingRefBased/>
  <w15:docId w15:val="{1E54540B-8699-9F43-A81F-A7DC41EF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0F1"/>
    <w:rPr>
      <w:color w:val="3482B4"/>
      <w:u w:val="none"/>
    </w:rPr>
  </w:style>
  <w:style w:type="character" w:styleId="UnresolvedMention">
    <w:name w:val="Unresolved Mention"/>
    <w:basedOn w:val="DefaultParagraphFont"/>
    <w:uiPriority w:val="99"/>
    <w:rsid w:val="00D23B6D"/>
    <w:rPr>
      <w:color w:val="605E5C"/>
      <w:shd w:val="clear" w:color="auto" w:fill="E1DFDD"/>
    </w:rPr>
  </w:style>
  <w:style w:type="character" w:styleId="FollowedHyperlink">
    <w:name w:val="FollowedHyperlink"/>
    <w:basedOn w:val="DefaultParagraphFont"/>
    <w:uiPriority w:val="99"/>
    <w:semiHidden/>
    <w:unhideWhenUsed/>
    <w:rsid w:val="00A96954"/>
    <w:rPr>
      <w:color w:val="27658C"/>
      <w:u w:val="none"/>
    </w:rPr>
  </w:style>
  <w:style w:type="paragraph" w:styleId="ListParagraph">
    <w:name w:val="List Paragraph"/>
    <w:basedOn w:val="Normal"/>
    <w:uiPriority w:val="34"/>
    <w:qFormat/>
    <w:rsid w:val="00390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91250">
      <w:bodyDiv w:val="1"/>
      <w:marLeft w:val="0"/>
      <w:marRight w:val="0"/>
      <w:marTop w:val="0"/>
      <w:marBottom w:val="0"/>
      <w:divBdr>
        <w:top w:val="none" w:sz="0" w:space="0" w:color="auto"/>
        <w:left w:val="none" w:sz="0" w:space="0" w:color="auto"/>
        <w:bottom w:val="none" w:sz="0" w:space="0" w:color="auto"/>
        <w:right w:val="none" w:sz="0" w:space="0" w:color="auto"/>
      </w:divBdr>
      <w:divsChild>
        <w:div w:id="1979073220">
          <w:marLeft w:val="0"/>
          <w:marRight w:val="0"/>
          <w:marTop w:val="0"/>
          <w:marBottom w:val="0"/>
          <w:divBdr>
            <w:top w:val="none" w:sz="0" w:space="0" w:color="auto"/>
            <w:left w:val="none" w:sz="0" w:space="0" w:color="auto"/>
            <w:bottom w:val="none" w:sz="0" w:space="0" w:color="auto"/>
            <w:right w:val="none" w:sz="0" w:space="0" w:color="auto"/>
          </w:divBdr>
          <w:divsChild>
            <w:div w:id="615257139">
              <w:marLeft w:val="0"/>
              <w:marRight w:val="0"/>
              <w:marTop w:val="0"/>
              <w:marBottom w:val="0"/>
              <w:divBdr>
                <w:top w:val="none" w:sz="0" w:space="0" w:color="auto"/>
                <w:left w:val="none" w:sz="0" w:space="0" w:color="auto"/>
                <w:bottom w:val="none" w:sz="0" w:space="0" w:color="auto"/>
                <w:right w:val="none" w:sz="0" w:space="0" w:color="auto"/>
              </w:divBdr>
              <w:divsChild>
                <w:div w:id="14524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08177">
      <w:bodyDiv w:val="1"/>
      <w:marLeft w:val="0"/>
      <w:marRight w:val="0"/>
      <w:marTop w:val="0"/>
      <w:marBottom w:val="0"/>
      <w:divBdr>
        <w:top w:val="none" w:sz="0" w:space="0" w:color="auto"/>
        <w:left w:val="none" w:sz="0" w:space="0" w:color="auto"/>
        <w:bottom w:val="none" w:sz="0" w:space="0" w:color="auto"/>
        <w:right w:val="none" w:sz="0" w:space="0" w:color="auto"/>
      </w:divBdr>
      <w:divsChild>
        <w:div w:id="674305893">
          <w:marLeft w:val="0"/>
          <w:marRight w:val="0"/>
          <w:marTop w:val="0"/>
          <w:marBottom w:val="0"/>
          <w:divBdr>
            <w:top w:val="none" w:sz="0" w:space="0" w:color="auto"/>
            <w:left w:val="none" w:sz="0" w:space="0" w:color="auto"/>
            <w:bottom w:val="none" w:sz="0" w:space="0" w:color="auto"/>
            <w:right w:val="none" w:sz="0" w:space="0" w:color="auto"/>
          </w:divBdr>
          <w:divsChild>
            <w:div w:id="1380204549">
              <w:marLeft w:val="0"/>
              <w:marRight w:val="0"/>
              <w:marTop w:val="0"/>
              <w:marBottom w:val="0"/>
              <w:divBdr>
                <w:top w:val="none" w:sz="0" w:space="0" w:color="auto"/>
                <w:left w:val="none" w:sz="0" w:space="0" w:color="auto"/>
                <w:bottom w:val="none" w:sz="0" w:space="0" w:color="auto"/>
                <w:right w:val="none" w:sz="0" w:space="0" w:color="auto"/>
              </w:divBdr>
              <w:divsChild>
                <w:div w:id="8400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21675">
      <w:bodyDiv w:val="1"/>
      <w:marLeft w:val="0"/>
      <w:marRight w:val="0"/>
      <w:marTop w:val="0"/>
      <w:marBottom w:val="0"/>
      <w:divBdr>
        <w:top w:val="none" w:sz="0" w:space="0" w:color="auto"/>
        <w:left w:val="none" w:sz="0" w:space="0" w:color="auto"/>
        <w:bottom w:val="none" w:sz="0" w:space="0" w:color="auto"/>
        <w:right w:val="none" w:sz="0" w:space="0" w:color="auto"/>
      </w:divBdr>
      <w:divsChild>
        <w:div w:id="128863325">
          <w:marLeft w:val="0"/>
          <w:marRight w:val="0"/>
          <w:marTop w:val="0"/>
          <w:marBottom w:val="0"/>
          <w:divBdr>
            <w:top w:val="none" w:sz="0" w:space="0" w:color="auto"/>
            <w:left w:val="none" w:sz="0" w:space="0" w:color="auto"/>
            <w:bottom w:val="none" w:sz="0" w:space="0" w:color="auto"/>
            <w:right w:val="none" w:sz="0" w:space="0" w:color="auto"/>
          </w:divBdr>
          <w:divsChild>
            <w:div w:id="378895586">
              <w:marLeft w:val="0"/>
              <w:marRight w:val="0"/>
              <w:marTop w:val="0"/>
              <w:marBottom w:val="0"/>
              <w:divBdr>
                <w:top w:val="none" w:sz="0" w:space="0" w:color="auto"/>
                <w:left w:val="none" w:sz="0" w:space="0" w:color="auto"/>
                <w:bottom w:val="none" w:sz="0" w:space="0" w:color="auto"/>
                <w:right w:val="none" w:sz="0" w:space="0" w:color="auto"/>
              </w:divBdr>
              <w:divsChild>
                <w:div w:id="157944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596212">
      <w:bodyDiv w:val="1"/>
      <w:marLeft w:val="0"/>
      <w:marRight w:val="0"/>
      <w:marTop w:val="0"/>
      <w:marBottom w:val="0"/>
      <w:divBdr>
        <w:top w:val="none" w:sz="0" w:space="0" w:color="auto"/>
        <w:left w:val="none" w:sz="0" w:space="0" w:color="auto"/>
        <w:bottom w:val="none" w:sz="0" w:space="0" w:color="auto"/>
        <w:right w:val="none" w:sz="0" w:space="0" w:color="auto"/>
      </w:divBdr>
      <w:divsChild>
        <w:div w:id="191889416">
          <w:marLeft w:val="0"/>
          <w:marRight w:val="0"/>
          <w:marTop w:val="0"/>
          <w:marBottom w:val="0"/>
          <w:divBdr>
            <w:top w:val="none" w:sz="0" w:space="0" w:color="auto"/>
            <w:left w:val="none" w:sz="0" w:space="0" w:color="auto"/>
            <w:bottom w:val="none" w:sz="0" w:space="0" w:color="auto"/>
            <w:right w:val="none" w:sz="0" w:space="0" w:color="auto"/>
          </w:divBdr>
          <w:divsChild>
            <w:div w:id="1282566425">
              <w:marLeft w:val="0"/>
              <w:marRight w:val="0"/>
              <w:marTop w:val="0"/>
              <w:marBottom w:val="0"/>
              <w:divBdr>
                <w:top w:val="none" w:sz="0" w:space="0" w:color="auto"/>
                <w:left w:val="none" w:sz="0" w:space="0" w:color="auto"/>
                <w:bottom w:val="none" w:sz="0" w:space="0" w:color="auto"/>
                <w:right w:val="none" w:sz="0" w:space="0" w:color="auto"/>
              </w:divBdr>
              <w:divsChild>
                <w:div w:id="8546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152154">
      <w:bodyDiv w:val="1"/>
      <w:marLeft w:val="0"/>
      <w:marRight w:val="0"/>
      <w:marTop w:val="0"/>
      <w:marBottom w:val="0"/>
      <w:divBdr>
        <w:top w:val="none" w:sz="0" w:space="0" w:color="auto"/>
        <w:left w:val="none" w:sz="0" w:space="0" w:color="auto"/>
        <w:bottom w:val="none" w:sz="0" w:space="0" w:color="auto"/>
        <w:right w:val="none" w:sz="0" w:space="0" w:color="auto"/>
      </w:divBdr>
      <w:divsChild>
        <w:div w:id="1561549719">
          <w:marLeft w:val="0"/>
          <w:marRight w:val="0"/>
          <w:marTop w:val="0"/>
          <w:marBottom w:val="0"/>
          <w:divBdr>
            <w:top w:val="none" w:sz="0" w:space="0" w:color="auto"/>
            <w:left w:val="none" w:sz="0" w:space="0" w:color="auto"/>
            <w:bottom w:val="none" w:sz="0" w:space="0" w:color="auto"/>
            <w:right w:val="none" w:sz="0" w:space="0" w:color="auto"/>
          </w:divBdr>
          <w:divsChild>
            <w:div w:id="1986886734">
              <w:marLeft w:val="0"/>
              <w:marRight w:val="0"/>
              <w:marTop w:val="0"/>
              <w:marBottom w:val="0"/>
              <w:divBdr>
                <w:top w:val="none" w:sz="0" w:space="0" w:color="auto"/>
                <w:left w:val="none" w:sz="0" w:space="0" w:color="auto"/>
                <w:bottom w:val="none" w:sz="0" w:space="0" w:color="auto"/>
                <w:right w:val="none" w:sz="0" w:space="0" w:color="auto"/>
              </w:divBdr>
              <w:divsChild>
                <w:div w:id="18091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74065">
      <w:bodyDiv w:val="1"/>
      <w:marLeft w:val="0"/>
      <w:marRight w:val="0"/>
      <w:marTop w:val="0"/>
      <w:marBottom w:val="0"/>
      <w:divBdr>
        <w:top w:val="none" w:sz="0" w:space="0" w:color="auto"/>
        <w:left w:val="none" w:sz="0" w:space="0" w:color="auto"/>
        <w:bottom w:val="none" w:sz="0" w:space="0" w:color="auto"/>
        <w:right w:val="none" w:sz="0" w:space="0" w:color="auto"/>
      </w:divBdr>
      <w:divsChild>
        <w:div w:id="829906022">
          <w:marLeft w:val="0"/>
          <w:marRight w:val="0"/>
          <w:marTop w:val="0"/>
          <w:marBottom w:val="0"/>
          <w:divBdr>
            <w:top w:val="none" w:sz="0" w:space="0" w:color="auto"/>
            <w:left w:val="none" w:sz="0" w:space="0" w:color="auto"/>
            <w:bottom w:val="none" w:sz="0" w:space="0" w:color="auto"/>
            <w:right w:val="none" w:sz="0" w:space="0" w:color="auto"/>
          </w:divBdr>
          <w:divsChild>
            <w:div w:id="1329820748">
              <w:marLeft w:val="0"/>
              <w:marRight w:val="0"/>
              <w:marTop w:val="0"/>
              <w:marBottom w:val="0"/>
              <w:divBdr>
                <w:top w:val="none" w:sz="0" w:space="0" w:color="auto"/>
                <w:left w:val="none" w:sz="0" w:space="0" w:color="auto"/>
                <w:bottom w:val="none" w:sz="0" w:space="0" w:color="auto"/>
                <w:right w:val="none" w:sz="0" w:space="0" w:color="auto"/>
              </w:divBdr>
              <w:divsChild>
                <w:div w:id="46296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90428">
      <w:bodyDiv w:val="1"/>
      <w:marLeft w:val="0"/>
      <w:marRight w:val="0"/>
      <w:marTop w:val="0"/>
      <w:marBottom w:val="0"/>
      <w:divBdr>
        <w:top w:val="none" w:sz="0" w:space="0" w:color="auto"/>
        <w:left w:val="none" w:sz="0" w:space="0" w:color="auto"/>
        <w:bottom w:val="none" w:sz="0" w:space="0" w:color="auto"/>
        <w:right w:val="none" w:sz="0" w:space="0" w:color="auto"/>
      </w:divBdr>
      <w:divsChild>
        <w:div w:id="1189292475">
          <w:marLeft w:val="0"/>
          <w:marRight w:val="0"/>
          <w:marTop w:val="0"/>
          <w:marBottom w:val="0"/>
          <w:divBdr>
            <w:top w:val="none" w:sz="0" w:space="0" w:color="auto"/>
            <w:left w:val="none" w:sz="0" w:space="0" w:color="auto"/>
            <w:bottom w:val="none" w:sz="0" w:space="0" w:color="auto"/>
            <w:right w:val="none" w:sz="0" w:space="0" w:color="auto"/>
          </w:divBdr>
          <w:divsChild>
            <w:div w:id="4719748">
              <w:marLeft w:val="0"/>
              <w:marRight w:val="0"/>
              <w:marTop w:val="0"/>
              <w:marBottom w:val="0"/>
              <w:divBdr>
                <w:top w:val="none" w:sz="0" w:space="0" w:color="auto"/>
                <w:left w:val="none" w:sz="0" w:space="0" w:color="auto"/>
                <w:bottom w:val="none" w:sz="0" w:space="0" w:color="auto"/>
                <w:right w:val="none" w:sz="0" w:space="0" w:color="auto"/>
              </w:divBdr>
              <w:divsChild>
                <w:div w:id="120733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ontiersin.org/articles/10.3389/fmars.2020.539214/full?utm_source=Email_to_authors_&amp;utm_medium=Email&amp;utm_content=T1_11.5e1_author&amp;utm_campaign=Email_publication&amp;field&amp;journalName=Frontiers_in_Marine_Science&amp;id=539214" TargetMode="External"/><Relationship Id="rId3" Type="http://schemas.openxmlformats.org/officeDocument/2006/relationships/settings" Target="settings.xml"/><Relationship Id="rId7" Type="http://schemas.openxmlformats.org/officeDocument/2006/relationships/hyperlink" Target="https://www.sciencedirect.com/science/article/pii/S0308597X19303677?via%3Dihu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rldefense.proofpoint.com/v2/url?u=https-3A__advances.sciencemag.org_content_4_6_eaat2504&amp;d=DwMFaQ&amp;c=2qwu4RrWzdlNOcmb_drAcw&amp;r=zUfWn8Bf2T9FOXTIZ8z5XNqw64LjySGoFIg27jhUX18&amp;m=9uwsseKu9elGZTBfcmAyqzA2HOCA-Oa5ibL6FwXX3wg&amp;s=WS8Pk6szfijtDDVBo82RuegAVeMp2Zd6amov-nhwiYc&amp;e=" TargetMode="External"/><Relationship Id="rId11" Type="http://schemas.openxmlformats.org/officeDocument/2006/relationships/theme" Target="theme/theme1.xml"/><Relationship Id="rId5" Type="http://schemas.openxmlformats.org/officeDocument/2006/relationships/hyperlink" Target="https://www.nature.com/articles/s41559-018-0499-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tfglobal.org/en/sector/seafarers/flags-of-conven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Microsoft Office User</cp:lastModifiedBy>
  <cp:revision>6</cp:revision>
  <dcterms:created xsi:type="dcterms:W3CDTF">2021-10-14T00:02:00Z</dcterms:created>
  <dcterms:modified xsi:type="dcterms:W3CDTF">2021-10-14T00:59:00Z</dcterms:modified>
</cp:coreProperties>
</file>