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20392" w14:textId="7847B86D" w:rsidR="00F55F43" w:rsidRDefault="004F31E1" w:rsidP="004F31E1">
      <w:pPr>
        <w:pBdr>
          <w:bottom w:val="single" w:sz="12" w:space="1" w:color="FFFFFF" w:themeColor="background1"/>
        </w:pBdr>
        <w:spacing w:after="120"/>
        <w:rPr>
          <w:rFonts w:ascii="Avenir Light" w:hAnsi="Avenir Light" w:cs="Arial"/>
          <w:b/>
        </w:rPr>
      </w:pPr>
      <w:r>
        <w:rPr>
          <w:rFonts w:ascii="Avenir Light" w:hAnsi="Avenir Light" w:cs="Arial"/>
          <w:b/>
        </w:rPr>
        <w:t>Glossary</w:t>
      </w:r>
    </w:p>
    <w:p w14:paraId="727B30CB" w14:textId="6F926456" w:rsidR="00D35103" w:rsidRPr="00D35103" w:rsidRDefault="00D35103" w:rsidP="004F31E1">
      <w:pPr>
        <w:pBdr>
          <w:bottom w:val="single" w:sz="12" w:space="1" w:color="FFFFFF" w:themeColor="background1"/>
        </w:pBdr>
        <w:spacing w:after="120"/>
        <w:rPr>
          <w:rFonts w:ascii="Avenir Light" w:hAnsi="Avenir Light" w:cs="Arial"/>
          <w:b/>
          <w:sz w:val="20"/>
          <w:szCs w:val="20"/>
        </w:rPr>
      </w:pPr>
      <w:r>
        <w:rPr>
          <w:rFonts w:ascii="Avenir Light" w:hAnsi="Avenir Light" w:cs="Arial"/>
          <w:sz w:val="20"/>
          <w:szCs w:val="20"/>
        </w:rPr>
        <w:t xml:space="preserve">This table defines abbreviations and terms commonly used throughout this tool. Sources provided in this table pertain to the definition of the abbreviation or term. See the answers in the ‘FAQs &amp; Data Sources` section above for the sources of the raw data used in the underlying analysis. </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30"/>
        <w:gridCol w:w="5144"/>
        <w:gridCol w:w="4934"/>
      </w:tblGrid>
      <w:tr w:rsidR="00D35103" w:rsidRPr="004F31E1" w14:paraId="748C427A" w14:textId="77777777" w:rsidTr="00942F99">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71" w:type="pct"/>
            <w:tcBorders>
              <w:top w:val="single" w:sz="8" w:space="0" w:color="auto"/>
              <w:bottom w:val="single" w:sz="8" w:space="0" w:color="auto"/>
            </w:tcBorders>
          </w:tcPr>
          <w:p w14:paraId="3786FD14" w14:textId="77777777" w:rsidR="004F31E1" w:rsidRPr="004F31E1" w:rsidRDefault="004F31E1" w:rsidP="004F31E1">
            <w:pPr>
              <w:spacing w:before="120"/>
              <w:rPr>
                <w:rFonts w:ascii="Avenir Light" w:hAnsi="Avenir Light" w:cs="Arial"/>
                <w:sz w:val="20"/>
                <w:szCs w:val="20"/>
              </w:rPr>
            </w:pPr>
            <w:bookmarkStart w:id="0" w:name="_GoBack"/>
            <w:r w:rsidRPr="004F31E1">
              <w:rPr>
                <w:rFonts w:ascii="Avenir Light" w:hAnsi="Avenir Light" w:cs="Arial"/>
                <w:sz w:val="20"/>
                <w:szCs w:val="20"/>
              </w:rPr>
              <w:t>Term</w:t>
            </w:r>
          </w:p>
        </w:tc>
        <w:tc>
          <w:tcPr>
            <w:tcW w:w="2056" w:type="pct"/>
            <w:tcBorders>
              <w:top w:val="single" w:sz="8" w:space="0" w:color="auto"/>
              <w:bottom w:val="single" w:sz="8" w:space="0" w:color="auto"/>
            </w:tcBorders>
          </w:tcPr>
          <w:p w14:paraId="50A7C540" w14:textId="77777777" w:rsidR="004F31E1" w:rsidRPr="004F31E1" w:rsidRDefault="004F31E1" w:rsidP="004F31E1">
            <w:pPr>
              <w:spacing w:before="120"/>
              <w:cnfStyle w:val="100000000000" w:firstRow="1" w:lastRow="0" w:firstColumn="0" w:lastColumn="0" w:oddVBand="0" w:evenVBand="0" w:oddHBand="0" w:evenHBand="0" w:firstRowFirstColumn="0" w:firstRowLastColumn="0" w:lastRowFirstColumn="0" w:lastRowLastColumn="0"/>
              <w:rPr>
                <w:rFonts w:ascii="Avenir Light" w:hAnsi="Avenir Light" w:cs="Arial"/>
                <w:sz w:val="20"/>
                <w:szCs w:val="20"/>
              </w:rPr>
            </w:pPr>
            <w:r w:rsidRPr="004F31E1">
              <w:rPr>
                <w:rFonts w:ascii="Avenir Light" w:hAnsi="Avenir Light" w:cs="Arial"/>
                <w:sz w:val="20"/>
                <w:szCs w:val="20"/>
              </w:rPr>
              <w:t>Definition</w:t>
            </w:r>
          </w:p>
        </w:tc>
        <w:tc>
          <w:tcPr>
            <w:tcW w:w="1972" w:type="pct"/>
            <w:tcBorders>
              <w:top w:val="single" w:sz="8" w:space="0" w:color="auto"/>
              <w:bottom w:val="single" w:sz="8" w:space="0" w:color="auto"/>
            </w:tcBorders>
          </w:tcPr>
          <w:p w14:paraId="4F47120C" w14:textId="77777777" w:rsidR="004F31E1" w:rsidRPr="004F31E1" w:rsidRDefault="004F31E1" w:rsidP="004F31E1">
            <w:pPr>
              <w:spacing w:before="120"/>
              <w:cnfStyle w:val="100000000000" w:firstRow="1" w:lastRow="0" w:firstColumn="0" w:lastColumn="0" w:oddVBand="0" w:evenVBand="0" w:oddHBand="0" w:evenHBand="0" w:firstRowFirstColumn="0" w:firstRowLastColumn="0" w:lastRowFirstColumn="0" w:lastRowLastColumn="0"/>
              <w:rPr>
                <w:rFonts w:ascii="Avenir Light" w:hAnsi="Avenir Light" w:cs="Arial"/>
                <w:sz w:val="20"/>
                <w:szCs w:val="20"/>
              </w:rPr>
            </w:pPr>
            <w:r w:rsidRPr="004F31E1">
              <w:rPr>
                <w:rFonts w:ascii="Avenir Light" w:hAnsi="Avenir Light" w:cs="Arial"/>
                <w:sz w:val="20"/>
                <w:szCs w:val="20"/>
              </w:rPr>
              <w:t>Source</w:t>
            </w:r>
          </w:p>
        </w:tc>
      </w:tr>
      <w:tr w:rsidR="00D35103" w:rsidRPr="004F31E1" w14:paraId="3D5A98B1" w14:textId="77777777" w:rsidTr="00942F99">
        <w:trPr>
          <w:trHeight w:val="1681"/>
        </w:trPr>
        <w:tc>
          <w:tcPr>
            <w:cnfStyle w:val="001000000000" w:firstRow="0" w:lastRow="0" w:firstColumn="1" w:lastColumn="0" w:oddVBand="0" w:evenVBand="0" w:oddHBand="0" w:evenHBand="0" w:firstRowFirstColumn="0" w:firstRowLastColumn="0" w:lastRowFirstColumn="0" w:lastRowLastColumn="0"/>
            <w:tcW w:w="971" w:type="pct"/>
            <w:tcBorders>
              <w:top w:val="single" w:sz="8" w:space="0" w:color="auto"/>
            </w:tcBorders>
            <w:vAlign w:val="center"/>
          </w:tcPr>
          <w:p w14:paraId="6705E0AA" w14:textId="7863BA70" w:rsidR="00067BF5" w:rsidRDefault="00067BF5" w:rsidP="004F31E1">
            <w:pPr>
              <w:spacing w:before="120"/>
              <w:rPr>
                <w:rFonts w:ascii="Avenir Light" w:hAnsi="Avenir Light" w:cs="Arial"/>
                <w:sz w:val="20"/>
                <w:szCs w:val="20"/>
              </w:rPr>
            </w:pPr>
            <w:r>
              <w:rPr>
                <w:rFonts w:ascii="Avenir Light" w:hAnsi="Avenir Light" w:cs="Arial"/>
                <w:sz w:val="20"/>
                <w:szCs w:val="20"/>
              </w:rPr>
              <w:t>AIS</w:t>
            </w:r>
          </w:p>
        </w:tc>
        <w:tc>
          <w:tcPr>
            <w:tcW w:w="2056" w:type="pct"/>
            <w:tcBorders>
              <w:top w:val="single" w:sz="8" w:space="0" w:color="auto"/>
            </w:tcBorders>
            <w:vAlign w:val="center"/>
          </w:tcPr>
          <w:p w14:paraId="6788D098" w14:textId="62222AC2" w:rsidR="00067BF5" w:rsidRPr="004F31E1" w:rsidRDefault="00067BF5" w:rsidP="004F31E1">
            <w:pPr>
              <w:spacing w:before="120"/>
              <w:cnfStyle w:val="000000000000" w:firstRow="0" w:lastRow="0" w:firstColumn="0" w:lastColumn="0" w:oddVBand="0" w:evenVBand="0" w:oddHBand="0" w:evenHBand="0" w:firstRowFirstColumn="0" w:firstRowLastColumn="0" w:lastRowFirstColumn="0" w:lastRowLastColumn="0"/>
              <w:rPr>
                <w:rFonts w:ascii="Avenir Light" w:hAnsi="Avenir Light" w:cs="Arial"/>
                <w:sz w:val="20"/>
                <w:szCs w:val="20"/>
              </w:rPr>
            </w:pPr>
            <w:r w:rsidRPr="00067BF5">
              <w:rPr>
                <w:rFonts w:ascii="Avenir Light" w:hAnsi="Avenir Light" w:cs="Arial"/>
                <w:sz w:val="20"/>
                <w:szCs w:val="20"/>
              </w:rPr>
              <w:t>Automatic Identification System: a system that transmits a ship’s position</w:t>
            </w:r>
            <w:r>
              <w:rPr>
                <w:rFonts w:ascii="Avenir Light" w:hAnsi="Avenir Light" w:cs="Arial"/>
                <w:sz w:val="20"/>
                <w:szCs w:val="20"/>
              </w:rPr>
              <w:t xml:space="preserve"> and identifying characteristics </w:t>
            </w:r>
            <w:r w:rsidRPr="00067BF5">
              <w:rPr>
                <w:rFonts w:ascii="Avenir Light" w:hAnsi="Avenir Light" w:cs="Arial"/>
                <w:sz w:val="20"/>
                <w:szCs w:val="20"/>
              </w:rPr>
              <w:t>so that other ships are aware of its position</w:t>
            </w:r>
            <w:r>
              <w:rPr>
                <w:rFonts w:ascii="Avenir Light" w:hAnsi="Avenir Light" w:cs="Arial"/>
                <w:sz w:val="20"/>
                <w:szCs w:val="20"/>
              </w:rPr>
              <w:t>.</w:t>
            </w:r>
            <w:r w:rsidRPr="00067BF5">
              <w:rPr>
                <w:rFonts w:ascii="Avenir Light" w:hAnsi="Avenir Light" w:cs="Arial"/>
                <w:sz w:val="20"/>
                <w:szCs w:val="20"/>
              </w:rPr>
              <w:t xml:space="preserve"> </w:t>
            </w:r>
            <w:r>
              <w:rPr>
                <w:rFonts w:ascii="Avenir Light" w:hAnsi="Avenir Light" w:cs="Arial"/>
                <w:sz w:val="20"/>
                <w:szCs w:val="20"/>
              </w:rPr>
              <w:t xml:space="preserve">AIS is </w:t>
            </w:r>
            <w:r w:rsidRPr="00067BF5">
              <w:rPr>
                <w:rFonts w:ascii="Avenir Light" w:hAnsi="Avenir Light" w:cs="Arial"/>
                <w:sz w:val="20"/>
                <w:szCs w:val="20"/>
              </w:rPr>
              <w:t xml:space="preserve">mandated by the International Maritime Organization (IMO) for vessels larger than 300 gross </w:t>
            </w:r>
            <w:proofErr w:type="spellStart"/>
            <w:r w:rsidRPr="00067BF5">
              <w:rPr>
                <w:rFonts w:ascii="Avenir Light" w:hAnsi="Avenir Light" w:cs="Arial"/>
                <w:sz w:val="20"/>
                <w:szCs w:val="20"/>
              </w:rPr>
              <w:t>tonnes</w:t>
            </w:r>
            <w:proofErr w:type="spellEnd"/>
            <w:r w:rsidRPr="00067BF5">
              <w:rPr>
                <w:rFonts w:ascii="Avenir Light" w:hAnsi="Avenir Light" w:cs="Arial"/>
                <w:sz w:val="20"/>
                <w:szCs w:val="20"/>
              </w:rPr>
              <w:t xml:space="preserve"> that travel internationally</w:t>
            </w:r>
            <w:r>
              <w:rPr>
                <w:rFonts w:ascii="Avenir Light" w:hAnsi="Avenir Light" w:cs="Arial"/>
                <w:sz w:val="20"/>
                <w:szCs w:val="20"/>
              </w:rPr>
              <w:t>, but many countries require other vessels to have AIS onboard as well</w:t>
            </w:r>
            <w:r w:rsidR="00CC2BE1">
              <w:rPr>
                <w:rFonts w:ascii="Avenir Light" w:hAnsi="Avenir Light" w:cs="Arial"/>
                <w:sz w:val="20"/>
                <w:szCs w:val="20"/>
              </w:rPr>
              <w:t>.</w:t>
            </w:r>
          </w:p>
        </w:tc>
        <w:tc>
          <w:tcPr>
            <w:tcW w:w="1972" w:type="pct"/>
            <w:tcBorders>
              <w:top w:val="single" w:sz="8" w:space="0" w:color="auto"/>
            </w:tcBorders>
            <w:vAlign w:val="center"/>
          </w:tcPr>
          <w:p w14:paraId="06B73435" w14:textId="728E9085" w:rsidR="00067BF5" w:rsidRPr="004F31E1" w:rsidRDefault="00067BF5" w:rsidP="00067BF5">
            <w:pPr>
              <w:spacing w:before="120"/>
              <w:cnfStyle w:val="000000000000" w:firstRow="0" w:lastRow="0" w:firstColumn="0" w:lastColumn="0" w:oddVBand="0" w:evenVBand="0" w:oddHBand="0" w:evenHBand="0" w:firstRowFirstColumn="0" w:firstRowLastColumn="0" w:lastRowFirstColumn="0" w:lastRowLastColumn="0"/>
              <w:rPr>
                <w:rFonts w:ascii="Avenir Light" w:hAnsi="Avenir Light" w:cs="Arial"/>
                <w:sz w:val="20"/>
                <w:szCs w:val="20"/>
              </w:rPr>
            </w:pPr>
            <w:r w:rsidRPr="00067BF5">
              <w:rPr>
                <w:rFonts w:ascii="Avenir Light" w:hAnsi="Avenir Light" w:cs="Arial"/>
                <w:sz w:val="20"/>
                <w:szCs w:val="20"/>
              </w:rPr>
              <w:t>Global Fishing Watch</w:t>
            </w:r>
            <w:r w:rsidR="00CC2BE1">
              <w:rPr>
                <w:rFonts w:ascii="Avenir Light" w:hAnsi="Avenir Light" w:cs="Arial"/>
                <w:sz w:val="20"/>
                <w:szCs w:val="20"/>
              </w:rPr>
              <w:t xml:space="preserve"> – </w:t>
            </w:r>
            <w:hyperlink r:id="rId5" w:history="1">
              <w:r w:rsidR="00CC2BE1" w:rsidRPr="00CC2BE1">
                <w:rPr>
                  <w:rStyle w:val="Hyperlink"/>
                  <w:rFonts w:ascii="Avenir Light" w:hAnsi="Avenir Light" w:cs="Arial"/>
                  <w:sz w:val="20"/>
                  <w:szCs w:val="20"/>
                </w:rPr>
                <w:t>What is AIS?</w:t>
              </w:r>
            </w:hyperlink>
          </w:p>
        </w:tc>
      </w:tr>
      <w:tr w:rsidR="00D35103" w:rsidRPr="004F31E1" w14:paraId="333BD200" w14:textId="77777777" w:rsidTr="00942F99">
        <w:trPr>
          <w:trHeight w:val="1431"/>
        </w:trPr>
        <w:tc>
          <w:tcPr>
            <w:cnfStyle w:val="001000000000" w:firstRow="0" w:lastRow="0" w:firstColumn="1" w:lastColumn="0" w:oddVBand="0" w:evenVBand="0" w:oddHBand="0" w:evenHBand="0" w:firstRowFirstColumn="0" w:firstRowLastColumn="0" w:lastRowFirstColumn="0" w:lastRowLastColumn="0"/>
            <w:tcW w:w="971" w:type="pct"/>
            <w:vAlign w:val="center"/>
          </w:tcPr>
          <w:p w14:paraId="4EDBE40D" w14:textId="351A731E" w:rsidR="00CC2BE1" w:rsidRDefault="00CC2BE1" w:rsidP="004F31E1">
            <w:pPr>
              <w:spacing w:before="120"/>
              <w:rPr>
                <w:rFonts w:ascii="Avenir Light" w:hAnsi="Avenir Light" w:cs="Arial"/>
                <w:sz w:val="20"/>
                <w:szCs w:val="20"/>
              </w:rPr>
            </w:pPr>
            <w:r>
              <w:rPr>
                <w:rFonts w:ascii="Avenir Light" w:hAnsi="Avenir Light" w:cs="Arial"/>
                <w:sz w:val="20"/>
                <w:szCs w:val="20"/>
              </w:rPr>
              <w:t>distant water fishing</w:t>
            </w:r>
          </w:p>
        </w:tc>
        <w:tc>
          <w:tcPr>
            <w:tcW w:w="2056" w:type="pct"/>
            <w:vAlign w:val="center"/>
          </w:tcPr>
          <w:p w14:paraId="64C8A342" w14:textId="5B58D1C9" w:rsidR="00CC2BE1" w:rsidRPr="00CC2BE1" w:rsidRDefault="00CC2BE1" w:rsidP="004F31E1">
            <w:pPr>
              <w:spacing w:before="120"/>
              <w:cnfStyle w:val="000000000000" w:firstRow="0" w:lastRow="0" w:firstColumn="0" w:lastColumn="0" w:oddVBand="0" w:evenVBand="0" w:oddHBand="0" w:evenHBand="0" w:firstRowFirstColumn="0" w:firstRowLastColumn="0" w:lastRowFirstColumn="0" w:lastRowLastColumn="0"/>
              <w:rPr>
                <w:rFonts w:ascii="Avenir Light" w:hAnsi="Avenir Light" w:cs="Arial"/>
                <w:sz w:val="20"/>
                <w:szCs w:val="20"/>
              </w:rPr>
            </w:pPr>
            <w:r w:rsidRPr="00CC2BE1">
              <w:rPr>
                <w:rFonts w:ascii="Avenir Light" w:hAnsi="Avenir Light" w:cs="Arial"/>
                <w:sz w:val="20"/>
                <w:szCs w:val="20"/>
              </w:rPr>
              <w:t>Vessels fishing in all FAO major fishing areas other than those adjacent to the flag State, including on the high seas.</w:t>
            </w:r>
          </w:p>
        </w:tc>
        <w:tc>
          <w:tcPr>
            <w:tcW w:w="1972" w:type="pct"/>
            <w:vAlign w:val="center"/>
          </w:tcPr>
          <w:p w14:paraId="002C0155" w14:textId="301A63D5" w:rsidR="00CC2BE1" w:rsidRDefault="00CC2BE1" w:rsidP="004F31E1">
            <w:pPr>
              <w:spacing w:before="120"/>
              <w:cnfStyle w:val="000000000000" w:firstRow="0" w:lastRow="0" w:firstColumn="0" w:lastColumn="0" w:oddVBand="0" w:evenVBand="0" w:oddHBand="0" w:evenHBand="0" w:firstRowFirstColumn="0" w:firstRowLastColumn="0" w:lastRowFirstColumn="0" w:lastRowLastColumn="0"/>
              <w:rPr>
                <w:rFonts w:ascii="Avenir Light" w:hAnsi="Avenir Light" w:cs="Arial"/>
                <w:sz w:val="20"/>
                <w:szCs w:val="20"/>
              </w:rPr>
            </w:pPr>
            <w:r w:rsidRPr="00CC2BE1">
              <w:rPr>
                <w:rFonts w:ascii="Avenir Light" w:hAnsi="Avenir Light" w:cs="Arial"/>
                <w:sz w:val="20"/>
                <w:szCs w:val="20"/>
              </w:rPr>
              <w:t xml:space="preserve">R.J.R. Grainger and S.M. Garcia. </w:t>
            </w:r>
            <w:r w:rsidRPr="00CC2BE1">
              <w:rPr>
                <w:rFonts w:ascii="Avenir Light" w:hAnsi="Avenir Light" w:cs="Arial"/>
                <w:i/>
                <w:iCs/>
                <w:sz w:val="20"/>
                <w:szCs w:val="20"/>
              </w:rPr>
              <w:t>Chronicles of Marine Fishery Landings (1950-1994): Trend Analysis and Fisheries Potential</w:t>
            </w:r>
            <w:r w:rsidRPr="00CC2BE1">
              <w:rPr>
                <w:rFonts w:ascii="Avenir Light" w:hAnsi="Avenir Light" w:cs="Arial"/>
                <w:sz w:val="20"/>
                <w:szCs w:val="20"/>
              </w:rPr>
              <w:t xml:space="preserve">. FAO Fisheries Technical Paper 359 </w:t>
            </w:r>
            <w:hyperlink r:id="rId6" w:history="1">
              <w:r w:rsidRPr="00CC2BE1">
                <w:rPr>
                  <w:rStyle w:val="Hyperlink"/>
                  <w:rFonts w:ascii="Avenir Light" w:hAnsi="Avenir Light" w:cs="Arial"/>
                  <w:sz w:val="20"/>
                  <w:szCs w:val="20"/>
                </w:rPr>
                <w:t>http://www.fao.org/3/W3244E/w3244e09.htm</w:t>
              </w:r>
            </w:hyperlink>
          </w:p>
        </w:tc>
      </w:tr>
      <w:tr w:rsidR="00D35103" w:rsidRPr="004F31E1" w14:paraId="000E7A01" w14:textId="77777777" w:rsidTr="00942F99">
        <w:trPr>
          <w:trHeight w:val="1431"/>
        </w:trPr>
        <w:tc>
          <w:tcPr>
            <w:cnfStyle w:val="001000000000" w:firstRow="0" w:lastRow="0" w:firstColumn="1" w:lastColumn="0" w:oddVBand="0" w:evenVBand="0" w:oddHBand="0" w:evenHBand="0" w:firstRowFirstColumn="0" w:firstRowLastColumn="0" w:lastRowFirstColumn="0" w:lastRowLastColumn="0"/>
            <w:tcW w:w="971" w:type="pct"/>
            <w:vAlign w:val="center"/>
          </w:tcPr>
          <w:p w14:paraId="61ED90C3" w14:textId="72B31C18" w:rsidR="00067BF5" w:rsidRDefault="00067BF5" w:rsidP="004F31E1">
            <w:pPr>
              <w:spacing w:before="120"/>
              <w:rPr>
                <w:rFonts w:ascii="Avenir Light" w:hAnsi="Avenir Light" w:cs="Arial"/>
                <w:sz w:val="20"/>
                <w:szCs w:val="20"/>
              </w:rPr>
            </w:pPr>
            <w:r>
              <w:rPr>
                <w:rFonts w:ascii="Avenir Light" w:hAnsi="Avenir Light" w:cs="Arial"/>
                <w:sz w:val="20"/>
                <w:szCs w:val="20"/>
              </w:rPr>
              <w:t>EEZ</w:t>
            </w:r>
          </w:p>
        </w:tc>
        <w:tc>
          <w:tcPr>
            <w:tcW w:w="2056" w:type="pct"/>
            <w:vAlign w:val="center"/>
          </w:tcPr>
          <w:p w14:paraId="71D779AE" w14:textId="53CF46F7" w:rsidR="00067BF5" w:rsidRPr="004F31E1" w:rsidRDefault="00CC2BE1" w:rsidP="004F31E1">
            <w:pPr>
              <w:spacing w:before="120"/>
              <w:cnfStyle w:val="000000000000" w:firstRow="0" w:lastRow="0" w:firstColumn="0" w:lastColumn="0" w:oddVBand="0" w:evenVBand="0" w:oddHBand="0" w:evenHBand="0" w:firstRowFirstColumn="0" w:firstRowLastColumn="0" w:lastRowFirstColumn="0" w:lastRowLastColumn="0"/>
              <w:rPr>
                <w:rFonts w:ascii="Avenir Light" w:hAnsi="Avenir Light" w:cs="Arial"/>
                <w:sz w:val="20"/>
                <w:szCs w:val="20"/>
              </w:rPr>
            </w:pPr>
            <w:r w:rsidRPr="00CC2BE1">
              <w:rPr>
                <w:rFonts w:ascii="Avenir Light" w:hAnsi="Avenir Light" w:cs="Arial"/>
                <w:sz w:val="20"/>
                <w:szCs w:val="20"/>
              </w:rPr>
              <w:t>Exclusive Economic Zone: 200 nautical mile area under full rights and jurisdiction of the coastal state</w:t>
            </w:r>
            <w:r>
              <w:rPr>
                <w:rFonts w:ascii="Avenir Light" w:hAnsi="Avenir Light" w:cs="Arial"/>
                <w:sz w:val="20"/>
                <w:szCs w:val="20"/>
              </w:rPr>
              <w:t>.</w:t>
            </w:r>
          </w:p>
        </w:tc>
        <w:tc>
          <w:tcPr>
            <w:tcW w:w="1972" w:type="pct"/>
            <w:vAlign w:val="center"/>
          </w:tcPr>
          <w:p w14:paraId="7263F72D" w14:textId="257E6A23" w:rsidR="00067BF5" w:rsidRPr="004F31E1" w:rsidRDefault="00942F99" w:rsidP="004F31E1">
            <w:pPr>
              <w:spacing w:before="120"/>
              <w:cnfStyle w:val="000000000000" w:firstRow="0" w:lastRow="0" w:firstColumn="0" w:lastColumn="0" w:oddVBand="0" w:evenVBand="0" w:oddHBand="0" w:evenHBand="0" w:firstRowFirstColumn="0" w:firstRowLastColumn="0" w:lastRowFirstColumn="0" w:lastRowLastColumn="0"/>
              <w:rPr>
                <w:rFonts w:ascii="Avenir Light" w:hAnsi="Avenir Light" w:cs="Arial"/>
                <w:sz w:val="20"/>
                <w:szCs w:val="20"/>
              </w:rPr>
            </w:pPr>
            <w:hyperlink r:id="rId7" w:history="1">
              <w:r w:rsidR="00CC2BE1" w:rsidRPr="00CC2BE1">
                <w:rPr>
                  <w:rStyle w:val="Hyperlink"/>
                  <w:rFonts w:ascii="Avenir Light" w:hAnsi="Avenir Light" w:cs="Arial"/>
                  <w:sz w:val="20"/>
                  <w:szCs w:val="20"/>
                </w:rPr>
                <w:t>United Nations Convention on the Law of the Sea – Part V</w:t>
              </w:r>
            </w:hyperlink>
          </w:p>
        </w:tc>
      </w:tr>
      <w:tr w:rsidR="00D35103" w:rsidRPr="004F31E1" w14:paraId="7CB61B68" w14:textId="77777777" w:rsidTr="00942F99">
        <w:trPr>
          <w:trHeight w:val="1431"/>
        </w:trPr>
        <w:tc>
          <w:tcPr>
            <w:cnfStyle w:val="001000000000" w:firstRow="0" w:lastRow="0" w:firstColumn="1" w:lastColumn="0" w:oddVBand="0" w:evenVBand="0" w:oddHBand="0" w:evenHBand="0" w:firstRowFirstColumn="0" w:firstRowLastColumn="0" w:lastRowFirstColumn="0" w:lastRowLastColumn="0"/>
            <w:tcW w:w="971" w:type="pct"/>
            <w:vAlign w:val="center"/>
          </w:tcPr>
          <w:p w14:paraId="597962B7" w14:textId="1759DE45" w:rsidR="004F31E1" w:rsidRPr="004F31E1" w:rsidRDefault="004F31E1" w:rsidP="004F31E1">
            <w:pPr>
              <w:spacing w:before="120"/>
              <w:rPr>
                <w:rFonts w:ascii="Avenir Light" w:hAnsi="Avenir Light" w:cs="Arial"/>
                <w:sz w:val="20"/>
                <w:szCs w:val="20"/>
              </w:rPr>
            </w:pPr>
            <w:r>
              <w:rPr>
                <w:rFonts w:ascii="Avenir Light" w:hAnsi="Avenir Light" w:cs="Arial"/>
                <w:sz w:val="20"/>
                <w:szCs w:val="20"/>
              </w:rPr>
              <w:t>f</w:t>
            </w:r>
            <w:r w:rsidRPr="004F31E1">
              <w:rPr>
                <w:rFonts w:ascii="Avenir Light" w:hAnsi="Avenir Light" w:cs="Arial"/>
                <w:sz w:val="20"/>
                <w:szCs w:val="20"/>
              </w:rPr>
              <w:t>ishery subsidies</w:t>
            </w:r>
          </w:p>
        </w:tc>
        <w:tc>
          <w:tcPr>
            <w:tcW w:w="2056" w:type="pct"/>
            <w:vAlign w:val="center"/>
          </w:tcPr>
          <w:p w14:paraId="12175324" w14:textId="51E2608C" w:rsidR="004F31E1" w:rsidRPr="004F31E1" w:rsidRDefault="004F31E1" w:rsidP="004F31E1">
            <w:pPr>
              <w:spacing w:before="120"/>
              <w:cnfStyle w:val="000000000000" w:firstRow="0" w:lastRow="0" w:firstColumn="0" w:lastColumn="0" w:oddVBand="0" w:evenVBand="0" w:oddHBand="0" w:evenHBand="0" w:firstRowFirstColumn="0" w:firstRowLastColumn="0" w:lastRowFirstColumn="0" w:lastRowLastColumn="0"/>
              <w:rPr>
                <w:rFonts w:ascii="Avenir Light" w:hAnsi="Avenir Light" w:cs="Arial"/>
                <w:sz w:val="20"/>
                <w:szCs w:val="20"/>
              </w:rPr>
            </w:pPr>
            <w:r w:rsidRPr="004F31E1">
              <w:rPr>
                <w:rFonts w:ascii="Avenir Light" w:hAnsi="Avenir Light" w:cs="Arial"/>
                <w:sz w:val="20"/>
                <w:szCs w:val="20"/>
              </w:rPr>
              <w:t>Financial transfers, direct or indirect, from public</w:t>
            </w:r>
            <w:r>
              <w:rPr>
                <w:rFonts w:ascii="Avenir Light" w:hAnsi="Avenir Light" w:cs="Arial"/>
                <w:sz w:val="20"/>
                <w:szCs w:val="20"/>
              </w:rPr>
              <w:t xml:space="preserve"> </w:t>
            </w:r>
            <w:r w:rsidRPr="004F31E1">
              <w:rPr>
                <w:rFonts w:ascii="Avenir Light" w:hAnsi="Avenir Light" w:cs="Arial"/>
                <w:sz w:val="20"/>
                <w:szCs w:val="20"/>
              </w:rPr>
              <w:t>entities to the fishing sector, which help the sector make more profit</w:t>
            </w:r>
            <w:r>
              <w:rPr>
                <w:rFonts w:ascii="Avenir Light" w:hAnsi="Avenir Light" w:cs="Arial"/>
                <w:sz w:val="20"/>
                <w:szCs w:val="20"/>
              </w:rPr>
              <w:t>able</w:t>
            </w:r>
            <w:r w:rsidRPr="004F31E1">
              <w:rPr>
                <w:rFonts w:ascii="Avenir Light" w:hAnsi="Avenir Light" w:cs="Arial"/>
                <w:sz w:val="20"/>
                <w:szCs w:val="20"/>
              </w:rPr>
              <w:t xml:space="preserve"> than it would</w:t>
            </w:r>
            <w:r>
              <w:rPr>
                <w:rFonts w:ascii="Avenir Light" w:hAnsi="Avenir Light" w:cs="Arial"/>
                <w:sz w:val="20"/>
                <w:szCs w:val="20"/>
              </w:rPr>
              <w:t xml:space="preserve"> </w:t>
            </w:r>
            <w:r w:rsidRPr="004F31E1">
              <w:rPr>
                <w:rFonts w:ascii="Avenir Light" w:hAnsi="Avenir Light" w:cs="Arial"/>
                <w:sz w:val="20"/>
                <w:szCs w:val="20"/>
              </w:rPr>
              <w:t>otherwise</w:t>
            </w:r>
            <w:r>
              <w:rPr>
                <w:rFonts w:ascii="Avenir Light" w:hAnsi="Avenir Light" w:cs="Arial"/>
                <w:sz w:val="20"/>
                <w:szCs w:val="20"/>
              </w:rPr>
              <w:t xml:space="preserve"> be</w:t>
            </w:r>
            <w:r w:rsidR="00CC2BE1">
              <w:rPr>
                <w:rFonts w:ascii="Avenir Light" w:hAnsi="Avenir Light" w:cs="Arial"/>
                <w:sz w:val="20"/>
                <w:szCs w:val="20"/>
              </w:rPr>
              <w:t>.</w:t>
            </w:r>
          </w:p>
        </w:tc>
        <w:tc>
          <w:tcPr>
            <w:tcW w:w="1972" w:type="pct"/>
            <w:vAlign w:val="center"/>
          </w:tcPr>
          <w:p w14:paraId="23DD5296" w14:textId="520B1F5C" w:rsidR="004F31E1" w:rsidRPr="004F31E1" w:rsidRDefault="004F31E1" w:rsidP="004F31E1">
            <w:pPr>
              <w:spacing w:before="120"/>
              <w:cnfStyle w:val="000000000000" w:firstRow="0" w:lastRow="0" w:firstColumn="0" w:lastColumn="0" w:oddVBand="0" w:evenVBand="0" w:oddHBand="0" w:evenHBand="0" w:firstRowFirstColumn="0" w:firstRowLastColumn="0" w:lastRowFirstColumn="0" w:lastRowLastColumn="0"/>
              <w:rPr>
                <w:rFonts w:ascii="Avenir Light" w:hAnsi="Avenir Light" w:cs="Arial"/>
                <w:sz w:val="20"/>
                <w:szCs w:val="20"/>
              </w:rPr>
            </w:pPr>
            <w:r w:rsidRPr="004F31E1">
              <w:rPr>
                <w:rFonts w:ascii="Avenir Light" w:hAnsi="Avenir Light" w:cs="Arial"/>
                <w:sz w:val="20"/>
                <w:szCs w:val="20"/>
              </w:rPr>
              <w:t xml:space="preserve">Sumaila, U.R., Khan, A.S., Dyck, A.J. et al. </w:t>
            </w:r>
            <w:r w:rsidRPr="004F31E1">
              <w:rPr>
                <w:rFonts w:ascii="Avenir Light" w:hAnsi="Avenir Light" w:cs="Arial"/>
                <w:i/>
                <w:iCs/>
                <w:sz w:val="20"/>
                <w:szCs w:val="20"/>
              </w:rPr>
              <w:t>A bottom-up re-estimation of global fisheries subsidies.</w:t>
            </w:r>
            <w:r w:rsidRPr="004F31E1">
              <w:rPr>
                <w:rFonts w:ascii="Avenir Light" w:hAnsi="Avenir Light" w:cs="Arial"/>
                <w:sz w:val="20"/>
                <w:szCs w:val="20"/>
              </w:rPr>
              <w:t xml:space="preserve"> Journal of </w:t>
            </w:r>
            <w:proofErr w:type="spellStart"/>
            <w:r w:rsidRPr="004F31E1">
              <w:rPr>
                <w:rFonts w:ascii="Avenir Light" w:hAnsi="Avenir Light" w:cs="Arial"/>
                <w:sz w:val="20"/>
                <w:szCs w:val="20"/>
              </w:rPr>
              <w:t>Bioeconomics</w:t>
            </w:r>
            <w:proofErr w:type="spellEnd"/>
            <w:r w:rsidRPr="004F31E1">
              <w:rPr>
                <w:rFonts w:ascii="Avenir Light" w:hAnsi="Avenir Light" w:cs="Arial"/>
                <w:sz w:val="20"/>
                <w:szCs w:val="20"/>
              </w:rPr>
              <w:t xml:space="preserve"> 12, 201–225 (2010). </w:t>
            </w:r>
            <w:hyperlink r:id="rId8" w:history="1">
              <w:r w:rsidRPr="004F31E1">
                <w:rPr>
                  <w:rStyle w:val="Hyperlink"/>
                  <w:rFonts w:ascii="Avenir Light" w:hAnsi="Avenir Light" w:cs="Arial"/>
                  <w:sz w:val="20"/>
                  <w:szCs w:val="20"/>
                </w:rPr>
                <w:t>https://doi.org/10.1007/s10818-010-9091-8</w:t>
              </w:r>
            </w:hyperlink>
            <w:r w:rsidRPr="004F31E1">
              <w:rPr>
                <w:rFonts w:ascii="Avenir Light" w:hAnsi="Avenir Light" w:cs="Arial"/>
                <w:sz w:val="20"/>
                <w:szCs w:val="20"/>
              </w:rPr>
              <w:t xml:space="preserve"> </w:t>
            </w:r>
          </w:p>
        </w:tc>
      </w:tr>
      <w:tr w:rsidR="00D35103" w:rsidRPr="004F31E1" w14:paraId="2D00FE71" w14:textId="77777777" w:rsidTr="00942F99">
        <w:trPr>
          <w:trHeight w:val="1629"/>
        </w:trPr>
        <w:tc>
          <w:tcPr>
            <w:cnfStyle w:val="001000000000" w:firstRow="0" w:lastRow="0" w:firstColumn="1" w:lastColumn="0" w:oddVBand="0" w:evenVBand="0" w:oddHBand="0" w:evenHBand="0" w:firstRowFirstColumn="0" w:firstRowLastColumn="0" w:lastRowFirstColumn="0" w:lastRowLastColumn="0"/>
            <w:tcW w:w="971" w:type="pct"/>
            <w:vAlign w:val="center"/>
          </w:tcPr>
          <w:p w14:paraId="71465997" w14:textId="7F4AA6C1" w:rsidR="004F31E1" w:rsidRPr="004F31E1" w:rsidRDefault="004F31E1" w:rsidP="004F31E1">
            <w:pPr>
              <w:spacing w:before="120"/>
              <w:rPr>
                <w:rFonts w:ascii="Avenir Light" w:hAnsi="Avenir Light" w:cs="Arial"/>
                <w:sz w:val="20"/>
                <w:szCs w:val="20"/>
              </w:rPr>
            </w:pPr>
            <w:r w:rsidRPr="004F31E1">
              <w:rPr>
                <w:rFonts w:ascii="Avenir Light" w:hAnsi="Avenir Light" w:cs="Arial"/>
                <w:sz w:val="20"/>
                <w:szCs w:val="20"/>
              </w:rPr>
              <w:t>fishery subsidies</w:t>
            </w:r>
            <w:r w:rsidR="00CC2BE1">
              <w:rPr>
                <w:rFonts w:ascii="Avenir Light" w:hAnsi="Avenir Light" w:cs="Arial"/>
                <w:sz w:val="20"/>
                <w:szCs w:val="20"/>
              </w:rPr>
              <w:t>, capacity-enhancing (h</w:t>
            </w:r>
            <w:r w:rsidR="00CC2BE1" w:rsidRPr="004F31E1">
              <w:rPr>
                <w:rFonts w:ascii="Avenir Light" w:hAnsi="Avenir Light" w:cs="Arial"/>
                <w:sz w:val="20"/>
                <w:szCs w:val="20"/>
              </w:rPr>
              <w:t>armful</w:t>
            </w:r>
            <w:r w:rsidR="00CC2BE1">
              <w:rPr>
                <w:rFonts w:ascii="Avenir Light" w:hAnsi="Avenir Light" w:cs="Arial"/>
                <w:sz w:val="20"/>
                <w:szCs w:val="20"/>
              </w:rPr>
              <w:t>)</w:t>
            </w:r>
            <w:r w:rsidR="00CC2BE1" w:rsidRPr="004F31E1">
              <w:rPr>
                <w:rFonts w:ascii="Avenir Light" w:hAnsi="Avenir Light" w:cs="Arial"/>
                <w:sz w:val="20"/>
                <w:szCs w:val="20"/>
              </w:rPr>
              <w:t xml:space="preserve"> </w:t>
            </w:r>
            <w:r w:rsidRPr="004F31E1">
              <w:rPr>
                <w:rFonts w:ascii="Avenir Light" w:hAnsi="Avenir Light" w:cs="Arial"/>
                <w:sz w:val="20"/>
                <w:szCs w:val="20"/>
              </w:rPr>
              <w:t xml:space="preserve"> </w:t>
            </w:r>
          </w:p>
        </w:tc>
        <w:tc>
          <w:tcPr>
            <w:tcW w:w="2056" w:type="pct"/>
            <w:vAlign w:val="center"/>
          </w:tcPr>
          <w:p w14:paraId="08DFE34D" w14:textId="749ECD7F" w:rsidR="004F31E1" w:rsidRPr="004F31E1" w:rsidRDefault="004F31E1" w:rsidP="004F31E1">
            <w:pPr>
              <w:spacing w:before="120"/>
              <w:cnfStyle w:val="000000000000" w:firstRow="0" w:lastRow="0" w:firstColumn="0" w:lastColumn="0" w:oddVBand="0" w:evenVBand="0" w:oddHBand="0" w:evenHBand="0" w:firstRowFirstColumn="0" w:firstRowLastColumn="0" w:lastRowFirstColumn="0" w:lastRowLastColumn="0"/>
              <w:rPr>
                <w:rFonts w:ascii="Avenir Light" w:hAnsi="Avenir Light" w:cs="Arial"/>
                <w:sz w:val="20"/>
                <w:szCs w:val="20"/>
              </w:rPr>
            </w:pPr>
            <w:r w:rsidRPr="004F31E1">
              <w:rPr>
                <w:rFonts w:ascii="Avenir Light" w:hAnsi="Avenir Light" w:cs="Arial"/>
                <w:sz w:val="20"/>
                <w:szCs w:val="20"/>
              </w:rPr>
              <w:t>Programs that lead to disinvestments</w:t>
            </w:r>
            <w:r>
              <w:rPr>
                <w:rFonts w:ascii="Avenir Light" w:hAnsi="Avenir Light" w:cs="Arial"/>
                <w:sz w:val="20"/>
                <w:szCs w:val="20"/>
              </w:rPr>
              <w:t xml:space="preserve"> </w:t>
            </w:r>
            <w:r w:rsidRPr="004F31E1">
              <w:rPr>
                <w:rFonts w:ascii="Avenir Light" w:hAnsi="Avenir Light" w:cs="Arial"/>
                <w:sz w:val="20"/>
                <w:szCs w:val="20"/>
              </w:rPr>
              <w:t>in natural capital assets, developing fishing capacity to a point where resource</w:t>
            </w:r>
            <w:r>
              <w:rPr>
                <w:rFonts w:ascii="Avenir Light" w:hAnsi="Avenir Light" w:cs="Arial"/>
                <w:sz w:val="20"/>
                <w:szCs w:val="20"/>
              </w:rPr>
              <w:t xml:space="preserve"> </w:t>
            </w:r>
            <w:r w:rsidRPr="004F31E1">
              <w:rPr>
                <w:rFonts w:ascii="Avenir Light" w:hAnsi="Avenir Light" w:cs="Arial"/>
                <w:sz w:val="20"/>
                <w:szCs w:val="20"/>
              </w:rPr>
              <w:t>overexploitation makes it impossible to achieve maximum sustainable long-term benefits</w:t>
            </w:r>
            <w:r w:rsidR="00CC2BE1">
              <w:rPr>
                <w:rFonts w:ascii="Avenir Light" w:hAnsi="Avenir Light" w:cs="Arial"/>
                <w:sz w:val="20"/>
                <w:szCs w:val="20"/>
              </w:rPr>
              <w:t>.</w:t>
            </w:r>
          </w:p>
        </w:tc>
        <w:tc>
          <w:tcPr>
            <w:tcW w:w="1972" w:type="pct"/>
            <w:vAlign w:val="center"/>
          </w:tcPr>
          <w:p w14:paraId="101FBF77" w14:textId="77777777" w:rsidR="004F31E1" w:rsidRPr="004F31E1" w:rsidRDefault="004F31E1" w:rsidP="004F31E1">
            <w:pPr>
              <w:spacing w:before="120"/>
              <w:cnfStyle w:val="000000000000" w:firstRow="0" w:lastRow="0" w:firstColumn="0" w:lastColumn="0" w:oddVBand="0" w:evenVBand="0" w:oddHBand="0" w:evenHBand="0" w:firstRowFirstColumn="0" w:firstRowLastColumn="0" w:lastRowFirstColumn="0" w:lastRowLastColumn="0"/>
              <w:rPr>
                <w:rFonts w:ascii="Avenir Light" w:hAnsi="Avenir Light" w:cs="Arial"/>
                <w:sz w:val="20"/>
                <w:szCs w:val="20"/>
              </w:rPr>
            </w:pPr>
            <w:r w:rsidRPr="004F31E1">
              <w:rPr>
                <w:rFonts w:ascii="Avenir Light" w:hAnsi="Avenir Light" w:cs="Arial"/>
                <w:sz w:val="20"/>
                <w:szCs w:val="20"/>
              </w:rPr>
              <w:t xml:space="preserve">Sumaila, U.R., Khan, A.S., Dyck, A.J. et al. </w:t>
            </w:r>
            <w:r w:rsidRPr="004F31E1">
              <w:rPr>
                <w:rFonts w:ascii="Avenir Light" w:hAnsi="Avenir Light" w:cs="Arial"/>
                <w:i/>
                <w:iCs/>
                <w:sz w:val="20"/>
                <w:szCs w:val="20"/>
              </w:rPr>
              <w:t>A bottom-up re-estimation of global fisheries subsidies.</w:t>
            </w:r>
            <w:r w:rsidRPr="004F31E1">
              <w:rPr>
                <w:rFonts w:ascii="Avenir Light" w:hAnsi="Avenir Light" w:cs="Arial"/>
                <w:sz w:val="20"/>
                <w:szCs w:val="20"/>
              </w:rPr>
              <w:t xml:space="preserve"> Journal of </w:t>
            </w:r>
            <w:proofErr w:type="spellStart"/>
            <w:r w:rsidRPr="004F31E1">
              <w:rPr>
                <w:rFonts w:ascii="Avenir Light" w:hAnsi="Avenir Light" w:cs="Arial"/>
                <w:sz w:val="20"/>
                <w:szCs w:val="20"/>
              </w:rPr>
              <w:t>Bioeconomics</w:t>
            </w:r>
            <w:proofErr w:type="spellEnd"/>
            <w:r w:rsidRPr="004F31E1">
              <w:rPr>
                <w:rFonts w:ascii="Avenir Light" w:hAnsi="Avenir Light" w:cs="Arial"/>
                <w:sz w:val="20"/>
                <w:szCs w:val="20"/>
              </w:rPr>
              <w:t xml:space="preserve"> 12, 201–225 (2010). </w:t>
            </w:r>
            <w:hyperlink r:id="rId9" w:history="1">
              <w:r w:rsidRPr="004F31E1">
                <w:rPr>
                  <w:rStyle w:val="Hyperlink"/>
                  <w:rFonts w:ascii="Avenir Light" w:hAnsi="Avenir Light" w:cs="Arial"/>
                  <w:sz w:val="20"/>
                  <w:szCs w:val="20"/>
                </w:rPr>
                <w:t>https://doi.org/10.1007/s10818-010-9091-8</w:t>
              </w:r>
            </w:hyperlink>
          </w:p>
        </w:tc>
      </w:tr>
      <w:tr w:rsidR="00D35103" w:rsidRPr="004F31E1" w14:paraId="529BC99E" w14:textId="77777777" w:rsidTr="00942F99">
        <w:trPr>
          <w:trHeight w:val="891"/>
        </w:trPr>
        <w:tc>
          <w:tcPr>
            <w:cnfStyle w:val="001000000000" w:firstRow="0" w:lastRow="0" w:firstColumn="1" w:lastColumn="0" w:oddVBand="0" w:evenVBand="0" w:oddHBand="0" w:evenHBand="0" w:firstRowFirstColumn="0" w:firstRowLastColumn="0" w:lastRowFirstColumn="0" w:lastRowLastColumn="0"/>
            <w:tcW w:w="971" w:type="pct"/>
            <w:vAlign w:val="center"/>
          </w:tcPr>
          <w:p w14:paraId="4B1A62C2" w14:textId="6852D8A4" w:rsidR="004F31E1" w:rsidRPr="004F31E1" w:rsidRDefault="00CC2BE1" w:rsidP="004F31E1">
            <w:pPr>
              <w:spacing w:before="120"/>
              <w:rPr>
                <w:rFonts w:ascii="Avenir Light" w:hAnsi="Avenir Light" w:cs="Arial"/>
                <w:sz w:val="20"/>
                <w:szCs w:val="20"/>
              </w:rPr>
            </w:pPr>
            <w:r>
              <w:rPr>
                <w:rFonts w:ascii="Avenir Light" w:hAnsi="Avenir Light" w:cs="Arial"/>
                <w:sz w:val="20"/>
                <w:szCs w:val="20"/>
              </w:rPr>
              <w:t>fishing effort</w:t>
            </w:r>
          </w:p>
        </w:tc>
        <w:tc>
          <w:tcPr>
            <w:tcW w:w="2056" w:type="pct"/>
            <w:vAlign w:val="center"/>
          </w:tcPr>
          <w:p w14:paraId="4E4B912E" w14:textId="7B6EA1A3" w:rsidR="004F31E1" w:rsidRPr="004F31E1" w:rsidRDefault="00CC2BE1" w:rsidP="004F31E1">
            <w:pPr>
              <w:spacing w:before="120"/>
              <w:cnfStyle w:val="000000000000" w:firstRow="0" w:lastRow="0" w:firstColumn="0" w:lastColumn="0" w:oddVBand="0" w:evenVBand="0" w:oddHBand="0" w:evenHBand="0" w:firstRowFirstColumn="0" w:firstRowLastColumn="0" w:lastRowFirstColumn="0" w:lastRowLastColumn="0"/>
              <w:rPr>
                <w:rFonts w:ascii="Avenir Light" w:hAnsi="Avenir Light" w:cs="Arial"/>
                <w:sz w:val="20"/>
                <w:szCs w:val="20"/>
              </w:rPr>
            </w:pPr>
            <w:r w:rsidRPr="00CC2BE1">
              <w:rPr>
                <w:rFonts w:ascii="Avenir Light" w:hAnsi="Avenir Light" w:cs="Arial"/>
                <w:sz w:val="20"/>
                <w:szCs w:val="20"/>
              </w:rPr>
              <w:t>A measure of the amount of fishing</w:t>
            </w:r>
            <w:r>
              <w:rPr>
                <w:rFonts w:ascii="Avenir Light" w:hAnsi="Avenir Light" w:cs="Arial"/>
                <w:sz w:val="20"/>
                <w:szCs w:val="20"/>
              </w:rPr>
              <w:t xml:space="preserve">. For example, </w:t>
            </w:r>
            <w:r w:rsidRPr="00CC2BE1">
              <w:rPr>
                <w:rFonts w:ascii="Avenir Light" w:hAnsi="Avenir Light" w:cs="Arial"/>
                <w:sz w:val="20"/>
                <w:szCs w:val="20"/>
              </w:rPr>
              <w:t>the number of hours or days spent fishing, numbers of hooks used (i.e.</w:t>
            </w:r>
            <w:r>
              <w:rPr>
                <w:rFonts w:ascii="Avenir Light" w:hAnsi="Avenir Light" w:cs="Arial"/>
                <w:sz w:val="20"/>
                <w:szCs w:val="20"/>
              </w:rPr>
              <w:t>,</w:t>
            </w:r>
            <w:r w:rsidRPr="00CC2BE1">
              <w:rPr>
                <w:rFonts w:ascii="Avenir Light" w:hAnsi="Avenir Light" w:cs="Arial"/>
                <w:sz w:val="20"/>
                <w:szCs w:val="20"/>
              </w:rPr>
              <w:t xml:space="preserve"> in long- line fishing),</w:t>
            </w:r>
            <w:r>
              <w:rPr>
                <w:rFonts w:ascii="Avenir Light" w:hAnsi="Avenir Light" w:cs="Arial"/>
                <w:sz w:val="20"/>
                <w:szCs w:val="20"/>
              </w:rPr>
              <w:t xml:space="preserve"> or</w:t>
            </w:r>
            <w:r w:rsidRPr="00CC2BE1">
              <w:rPr>
                <w:rFonts w:ascii="Avenir Light" w:hAnsi="Avenir Light" w:cs="Arial"/>
                <w:sz w:val="20"/>
                <w:szCs w:val="20"/>
              </w:rPr>
              <w:t xml:space="preserve"> kilometers of nets used</w:t>
            </w:r>
            <w:r>
              <w:rPr>
                <w:rFonts w:ascii="Avenir Light" w:hAnsi="Avenir Light" w:cs="Arial"/>
                <w:sz w:val="20"/>
                <w:szCs w:val="20"/>
              </w:rPr>
              <w:t>.</w:t>
            </w:r>
            <w:r w:rsidRPr="00CC2BE1">
              <w:rPr>
                <w:rFonts w:ascii="Avenir Light" w:hAnsi="Avenir Light" w:cs="Arial"/>
                <w:sz w:val="20"/>
                <w:szCs w:val="20"/>
              </w:rPr>
              <w:t xml:space="preserve"> In this tool, we </w:t>
            </w:r>
            <w:r>
              <w:rPr>
                <w:rFonts w:ascii="Avenir Light" w:hAnsi="Avenir Light" w:cs="Arial"/>
                <w:sz w:val="20"/>
                <w:szCs w:val="20"/>
              </w:rPr>
              <w:t>express</w:t>
            </w:r>
            <w:r w:rsidRPr="00CC2BE1">
              <w:rPr>
                <w:rFonts w:ascii="Avenir Light" w:hAnsi="Avenir Light" w:cs="Arial"/>
                <w:sz w:val="20"/>
                <w:szCs w:val="20"/>
              </w:rPr>
              <w:t xml:space="preserve"> fishing effort </w:t>
            </w:r>
            <w:r>
              <w:rPr>
                <w:rFonts w:ascii="Avenir Light" w:hAnsi="Avenir Light" w:cs="Arial"/>
                <w:sz w:val="20"/>
                <w:szCs w:val="20"/>
              </w:rPr>
              <w:t xml:space="preserve">in units of </w:t>
            </w:r>
            <w:r w:rsidRPr="00CC2BE1">
              <w:rPr>
                <w:rFonts w:ascii="Avenir Light" w:hAnsi="Avenir Light" w:cs="Arial"/>
                <w:sz w:val="20"/>
                <w:szCs w:val="20"/>
              </w:rPr>
              <w:t>kilowatt-hours (kWh).</w:t>
            </w:r>
          </w:p>
        </w:tc>
        <w:tc>
          <w:tcPr>
            <w:tcW w:w="1972" w:type="pct"/>
            <w:vAlign w:val="center"/>
          </w:tcPr>
          <w:p w14:paraId="440D7058" w14:textId="3A31FB74" w:rsidR="004F31E1" w:rsidRPr="004F31E1" w:rsidRDefault="00CC2BE1" w:rsidP="00CC2BE1">
            <w:pPr>
              <w:spacing w:before="120"/>
              <w:cnfStyle w:val="000000000000" w:firstRow="0" w:lastRow="0" w:firstColumn="0" w:lastColumn="0" w:oddVBand="0" w:evenVBand="0" w:oddHBand="0" w:evenHBand="0" w:firstRowFirstColumn="0" w:firstRowLastColumn="0" w:lastRowFirstColumn="0" w:lastRowLastColumn="0"/>
              <w:rPr>
                <w:rFonts w:ascii="Avenir Light" w:hAnsi="Avenir Light" w:cs="Arial"/>
                <w:sz w:val="20"/>
                <w:szCs w:val="20"/>
              </w:rPr>
            </w:pPr>
            <w:r w:rsidRPr="00CC2BE1">
              <w:rPr>
                <w:rFonts w:ascii="Avenir Light" w:hAnsi="Avenir Light" w:cs="Arial"/>
                <w:sz w:val="20"/>
                <w:szCs w:val="20"/>
              </w:rPr>
              <w:t xml:space="preserve">Review of Fisheries in OECD Countries: </w:t>
            </w:r>
            <w:hyperlink r:id="rId10" w:history="1">
              <w:r w:rsidRPr="00CC2BE1">
                <w:rPr>
                  <w:rStyle w:val="Hyperlink"/>
                  <w:rFonts w:ascii="Avenir Light" w:hAnsi="Avenir Light" w:cs="Arial"/>
                  <w:sz w:val="20"/>
                  <w:szCs w:val="20"/>
                </w:rPr>
                <w:t>Glossary</w:t>
              </w:r>
            </w:hyperlink>
            <w:r w:rsidRPr="00CC2BE1">
              <w:rPr>
                <w:rFonts w:ascii="Avenir Light" w:hAnsi="Avenir Light" w:cs="Arial"/>
                <w:sz w:val="20"/>
                <w:szCs w:val="20"/>
              </w:rPr>
              <w:t>, February 1998.</w:t>
            </w:r>
          </w:p>
        </w:tc>
      </w:tr>
      <w:tr w:rsidR="00D35103" w:rsidRPr="004F31E1" w14:paraId="63E5BFE8" w14:textId="77777777" w:rsidTr="00942F99">
        <w:trPr>
          <w:trHeight w:val="891"/>
        </w:trPr>
        <w:tc>
          <w:tcPr>
            <w:cnfStyle w:val="001000000000" w:firstRow="0" w:lastRow="0" w:firstColumn="1" w:lastColumn="0" w:oddVBand="0" w:evenVBand="0" w:oddHBand="0" w:evenHBand="0" w:firstRowFirstColumn="0" w:firstRowLastColumn="0" w:lastRowFirstColumn="0" w:lastRowLastColumn="0"/>
            <w:tcW w:w="971" w:type="pct"/>
            <w:vAlign w:val="center"/>
          </w:tcPr>
          <w:p w14:paraId="6AEAC165" w14:textId="711F9C8E" w:rsidR="00CC2BE1" w:rsidRDefault="00CC2BE1" w:rsidP="004F31E1">
            <w:pPr>
              <w:spacing w:before="120"/>
              <w:rPr>
                <w:rFonts w:ascii="Avenir Light" w:hAnsi="Avenir Light" w:cs="Arial"/>
                <w:sz w:val="20"/>
                <w:szCs w:val="20"/>
              </w:rPr>
            </w:pPr>
            <w:r>
              <w:rPr>
                <w:rFonts w:ascii="Avenir Light" w:hAnsi="Avenir Light" w:cs="Arial"/>
                <w:sz w:val="20"/>
                <w:szCs w:val="20"/>
              </w:rPr>
              <w:t>flag state</w:t>
            </w:r>
          </w:p>
        </w:tc>
        <w:tc>
          <w:tcPr>
            <w:tcW w:w="2056" w:type="pct"/>
            <w:vAlign w:val="center"/>
          </w:tcPr>
          <w:p w14:paraId="4B0A24EB" w14:textId="39344650" w:rsidR="00CC2BE1" w:rsidRPr="004F31E1" w:rsidRDefault="00CC2BE1" w:rsidP="004F31E1">
            <w:pPr>
              <w:spacing w:before="120"/>
              <w:cnfStyle w:val="000000000000" w:firstRow="0" w:lastRow="0" w:firstColumn="0" w:lastColumn="0" w:oddVBand="0" w:evenVBand="0" w:oddHBand="0" w:evenHBand="0" w:firstRowFirstColumn="0" w:firstRowLastColumn="0" w:lastRowFirstColumn="0" w:lastRowLastColumn="0"/>
              <w:rPr>
                <w:rFonts w:ascii="Avenir Light" w:hAnsi="Avenir Light" w:cs="Arial"/>
                <w:sz w:val="20"/>
                <w:szCs w:val="20"/>
              </w:rPr>
            </w:pPr>
            <w:r w:rsidRPr="00CC2BE1">
              <w:rPr>
                <w:rFonts w:ascii="Avenir Light" w:hAnsi="Avenir Light" w:cs="Arial"/>
                <w:sz w:val="20"/>
                <w:szCs w:val="20"/>
              </w:rPr>
              <w:t>The State having registered a vessel under the national flag for fishing purposes.</w:t>
            </w:r>
          </w:p>
        </w:tc>
        <w:tc>
          <w:tcPr>
            <w:tcW w:w="1972" w:type="pct"/>
            <w:vAlign w:val="center"/>
          </w:tcPr>
          <w:p w14:paraId="5F37347E" w14:textId="52F27877" w:rsidR="00CC2BE1" w:rsidRPr="004F31E1" w:rsidRDefault="00CC2BE1" w:rsidP="004F31E1">
            <w:pPr>
              <w:spacing w:before="120"/>
              <w:cnfStyle w:val="000000000000" w:firstRow="0" w:lastRow="0" w:firstColumn="0" w:lastColumn="0" w:oddVBand="0" w:evenVBand="0" w:oddHBand="0" w:evenHBand="0" w:firstRowFirstColumn="0" w:firstRowLastColumn="0" w:lastRowFirstColumn="0" w:lastRowLastColumn="0"/>
              <w:rPr>
                <w:rFonts w:ascii="Avenir Light" w:hAnsi="Avenir Light" w:cs="Arial"/>
                <w:sz w:val="20"/>
                <w:szCs w:val="20"/>
              </w:rPr>
            </w:pPr>
            <w:r w:rsidRPr="00CC2BE1">
              <w:rPr>
                <w:rFonts w:ascii="Avenir Light" w:hAnsi="Avenir Light" w:cs="Arial"/>
                <w:sz w:val="20"/>
                <w:szCs w:val="20"/>
              </w:rPr>
              <w:t>FAO Fisheries and Aquaculture Department, FAO, 2014.</w:t>
            </w:r>
          </w:p>
        </w:tc>
      </w:tr>
      <w:tr w:rsidR="00D35103" w:rsidRPr="004F31E1" w14:paraId="626C956B" w14:textId="77777777" w:rsidTr="00942F99">
        <w:trPr>
          <w:trHeight w:val="891"/>
        </w:trPr>
        <w:tc>
          <w:tcPr>
            <w:cnfStyle w:val="001000000000" w:firstRow="0" w:lastRow="0" w:firstColumn="1" w:lastColumn="0" w:oddVBand="0" w:evenVBand="0" w:oddHBand="0" w:evenHBand="0" w:firstRowFirstColumn="0" w:firstRowLastColumn="0" w:lastRowFirstColumn="0" w:lastRowLastColumn="0"/>
            <w:tcW w:w="971" w:type="pct"/>
            <w:tcBorders>
              <w:bottom w:val="single" w:sz="8" w:space="0" w:color="auto"/>
            </w:tcBorders>
            <w:vAlign w:val="center"/>
          </w:tcPr>
          <w:p w14:paraId="42ED306F" w14:textId="54799BC0" w:rsidR="00CC2BE1" w:rsidRDefault="00CC2BE1" w:rsidP="004F31E1">
            <w:pPr>
              <w:spacing w:before="120"/>
              <w:rPr>
                <w:rFonts w:ascii="Avenir Light" w:hAnsi="Avenir Light" w:cs="Arial"/>
                <w:sz w:val="20"/>
                <w:szCs w:val="20"/>
              </w:rPr>
            </w:pPr>
            <w:r>
              <w:rPr>
                <w:rFonts w:ascii="Avenir Light" w:hAnsi="Avenir Light" w:cs="Arial"/>
                <w:sz w:val="20"/>
                <w:szCs w:val="20"/>
              </w:rPr>
              <w:t>kWh</w:t>
            </w:r>
            <w:r w:rsidR="00D35103">
              <w:rPr>
                <w:rFonts w:ascii="Avenir Light" w:hAnsi="Avenir Light" w:cs="Arial"/>
                <w:sz w:val="20"/>
                <w:szCs w:val="20"/>
              </w:rPr>
              <w:t xml:space="preserve"> (or kW hours)</w:t>
            </w:r>
          </w:p>
        </w:tc>
        <w:tc>
          <w:tcPr>
            <w:tcW w:w="2056" w:type="pct"/>
            <w:tcBorders>
              <w:bottom w:val="single" w:sz="8" w:space="0" w:color="auto"/>
            </w:tcBorders>
            <w:vAlign w:val="center"/>
          </w:tcPr>
          <w:p w14:paraId="2067F60E" w14:textId="3938198E" w:rsidR="00CC2BE1" w:rsidRPr="00CC2BE1" w:rsidRDefault="00CC2BE1" w:rsidP="004F31E1">
            <w:pPr>
              <w:spacing w:before="120"/>
              <w:cnfStyle w:val="000000000000" w:firstRow="0" w:lastRow="0" w:firstColumn="0" w:lastColumn="0" w:oddVBand="0" w:evenVBand="0" w:oddHBand="0" w:evenHBand="0" w:firstRowFirstColumn="0" w:firstRowLastColumn="0" w:lastRowFirstColumn="0" w:lastRowLastColumn="0"/>
              <w:rPr>
                <w:rFonts w:ascii="Avenir Light" w:hAnsi="Avenir Light" w:cs="Arial"/>
                <w:sz w:val="20"/>
                <w:szCs w:val="20"/>
              </w:rPr>
            </w:pPr>
            <w:r w:rsidRPr="00CC2BE1">
              <w:rPr>
                <w:rFonts w:ascii="Avenir Light" w:hAnsi="Avenir Light" w:cs="Arial"/>
                <w:sz w:val="20"/>
                <w:szCs w:val="20"/>
              </w:rPr>
              <w:t>Kilowatt-hours: amount of time spent fishing (hours) weighted by the engine power of the vessel (kW). Expressing fishing effort this way provides a better metric for comparing fishing effort across vessels with different gear types and/or sizes.</w:t>
            </w:r>
          </w:p>
        </w:tc>
        <w:tc>
          <w:tcPr>
            <w:tcW w:w="1972" w:type="pct"/>
            <w:tcBorders>
              <w:bottom w:val="single" w:sz="8" w:space="0" w:color="auto"/>
            </w:tcBorders>
            <w:vAlign w:val="center"/>
          </w:tcPr>
          <w:p w14:paraId="4F5747DC" w14:textId="1D9C740B" w:rsidR="00D35103" w:rsidRPr="00CC2BE1" w:rsidRDefault="00D35103" w:rsidP="004F31E1">
            <w:pPr>
              <w:spacing w:before="120"/>
              <w:cnfStyle w:val="000000000000" w:firstRow="0" w:lastRow="0" w:firstColumn="0" w:lastColumn="0" w:oddVBand="0" w:evenVBand="0" w:oddHBand="0" w:evenHBand="0" w:firstRowFirstColumn="0" w:firstRowLastColumn="0" w:lastRowFirstColumn="0" w:lastRowLastColumn="0"/>
              <w:rPr>
                <w:rFonts w:ascii="Avenir Light" w:hAnsi="Avenir Light" w:cs="Arial"/>
                <w:sz w:val="20"/>
                <w:szCs w:val="20"/>
              </w:rPr>
            </w:pPr>
            <w:proofErr w:type="spellStart"/>
            <w:r w:rsidRPr="00D35103">
              <w:rPr>
                <w:rFonts w:ascii="Avenir Light" w:hAnsi="Avenir Light" w:cs="Arial"/>
                <w:sz w:val="20"/>
                <w:szCs w:val="20"/>
              </w:rPr>
              <w:t>Kroodsma</w:t>
            </w:r>
            <w:proofErr w:type="spellEnd"/>
            <w:r w:rsidRPr="00D35103">
              <w:rPr>
                <w:rFonts w:ascii="Avenir Light" w:hAnsi="Avenir Light" w:cs="Arial"/>
                <w:sz w:val="20"/>
                <w:szCs w:val="20"/>
              </w:rPr>
              <w:t>, D. A. et al. Tracking the global footprint of fisheries. Science 359, 904–908 (2018).</w:t>
            </w:r>
            <w:r>
              <w:rPr>
                <w:rFonts w:ascii="Avenir Light" w:hAnsi="Avenir Light" w:cs="Arial"/>
                <w:sz w:val="20"/>
                <w:szCs w:val="20"/>
              </w:rPr>
              <w:t xml:space="preserve"> </w:t>
            </w:r>
            <w:hyperlink r:id="rId11" w:history="1">
              <w:r w:rsidRPr="00CD1F7C">
                <w:rPr>
                  <w:rStyle w:val="Hyperlink"/>
                  <w:rFonts w:ascii="Avenir Light" w:hAnsi="Avenir Light" w:cs="Arial"/>
                  <w:sz w:val="20"/>
                  <w:szCs w:val="20"/>
                </w:rPr>
                <w:t>https://doi.org/10.1126/science.aao5646</w:t>
              </w:r>
            </w:hyperlink>
            <w:r>
              <w:rPr>
                <w:rFonts w:ascii="Avenir Light" w:hAnsi="Avenir Light" w:cs="Arial"/>
                <w:sz w:val="20"/>
                <w:szCs w:val="20"/>
              </w:rPr>
              <w:t xml:space="preserve"> </w:t>
            </w:r>
          </w:p>
        </w:tc>
      </w:tr>
      <w:bookmarkEnd w:id="0"/>
    </w:tbl>
    <w:p w14:paraId="211BF44F" w14:textId="2EA97F57" w:rsidR="00D23B6D" w:rsidRPr="001B314B" w:rsidRDefault="00D23B6D" w:rsidP="004F31E1">
      <w:pPr>
        <w:spacing w:before="120"/>
        <w:rPr>
          <w:rFonts w:ascii="Avenir Light" w:hAnsi="Avenir Light" w:cs="Arial"/>
          <w:b/>
        </w:rPr>
      </w:pPr>
    </w:p>
    <w:sectPr w:rsidR="00D23B6D" w:rsidRPr="001B314B"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venir Light">
    <w:panose1 w:val="020B0402020203020204"/>
    <w:charset w:val="4D"/>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BEAE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BAEB8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A26C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40A9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060B2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7EDC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687B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DAD8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A0BF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58696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67BF5"/>
    <w:rsid w:val="000C3D9C"/>
    <w:rsid w:val="00166E91"/>
    <w:rsid w:val="001B314B"/>
    <w:rsid w:val="0023035C"/>
    <w:rsid w:val="00274BA1"/>
    <w:rsid w:val="003B00B0"/>
    <w:rsid w:val="003E1C70"/>
    <w:rsid w:val="00456AB1"/>
    <w:rsid w:val="00474DD8"/>
    <w:rsid w:val="00494AAF"/>
    <w:rsid w:val="004A6B50"/>
    <w:rsid w:val="004F31E1"/>
    <w:rsid w:val="00584202"/>
    <w:rsid w:val="005D7046"/>
    <w:rsid w:val="00661F6B"/>
    <w:rsid w:val="00835405"/>
    <w:rsid w:val="00886014"/>
    <w:rsid w:val="00942F99"/>
    <w:rsid w:val="009430F1"/>
    <w:rsid w:val="00A96954"/>
    <w:rsid w:val="00B02A16"/>
    <w:rsid w:val="00C03F11"/>
    <w:rsid w:val="00C320B2"/>
    <w:rsid w:val="00C94DBF"/>
    <w:rsid w:val="00CB0B0C"/>
    <w:rsid w:val="00CC2BE1"/>
    <w:rsid w:val="00CC4DCB"/>
    <w:rsid w:val="00D23B6D"/>
    <w:rsid w:val="00D35103"/>
    <w:rsid w:val="00D60543"/>
    <w:rsid w:val="00D8341C"/>
    <w:rsid w:val="00DB02E3"/>
    <w:rsid w:val="00DC5DFE"/>
    <w:rsid w:val="00F5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0F1"/>
    <w:rPr>
      <w:color w:val="3482B4"/>
      <w:u w:val="none"/>
    </w:rPr>
  </w:style>
  <w:style w:type="character" w:styleId="UnresolvedMention">
    <w:name w:val="Unresolved Mention"/>
    <w:basedOn w:val="DefaultParagraphFont"/>
    <w:uiPriority w:val="99"/>
    <w:rsid w:val="00D23B6D"/>
    <w:rPr>
      <w:color w:val="605E5C"/>
      <w:shd w:val="clear" w:color="auto" w:fill="E1DFDD"/>
    </w:rPr>
  </w:style>
  <w:style w:type="character" w:styleId="FollowedHyperlink">
    <w:name w:val="FollowedHyperlink"/>
    <w:basedOn w:val="DefaultParagraphFont"/>
    <w:uiPriority w:val="99"/>
    <w:semiHidden/>
    <w:unhideWhenUsed/>
    <w:rsid w:val="00A96954"/>
    <w:rPr>
      <w:color w:val="27658C"/>
      <w:u w:val="none"/>
    </w:rPr>
  </w:style>
  <w:style w:type="table" w:styleId="GridTable1Light">
    <w:name w:val="Grid Table 1 Light"/>
    <w:basedOn w:val="TableNormal"/>
    <w:uiPriority w:val="46"/>
    <w:rsid w:val="004F31E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4F31E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31E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176968">
      <w:bodyDiv w:val="1"/>
      <w:marLeft w:val="0"/>
      <w:marRight w:val="0"/>
      <w:marTop w:val="0"/>
      <w:marBottom w:val="0"/>
      <w:divBdr>
        <w:top w:val="none" w:sz="0" w:space="0" w:color="auto"/>
        <w:left w:val="none" w:sz="0" w:space="0" w:color="auto"/>
        <w:bottom w:val="none" w:sz="0" w:space="0" w:color="auto"/>
        <w:right w:val="none" w:sz="0" w:space="0" w:color="auto"/>
      </w:divBdr>
      <w:divsChild>
        <w:div w:id="1776706618">
          <w:marLeft w:val="0"/>
          <w:marRight w:val="0"/>
          <w:marTop w:val="0"/>
          <w:marBottom w:val="0"/>
          <w:divBdr>
            <w:top w:val="none" w:sz="0" w:space="0" w:color="auto"/>
            <w:left w:val="none" w:sz="0" w:space="0" w:color="auto"/>
            <w:bottom w:val="none" w:sz="0" w:space="0" w:color="auto"/>
            <w:right w:val="none" w:sz="0" w:space="0" w:color="auto"/>
          </w:divBdr>
          <w:divsChild>
            <w:div w:id="313687388">
              <w:marLeft w:val="0"/>
              <w:marRight w:val="0"/>
              <w:marTop w:val="0"/>
              <w:marBottom w:val="0"/>
              <w:divBdr>
                <w:top w:val="none" w:sz="0" w:space="0" w:color="auto"/>
                <w:left w:val="none" w:sz="0" w:space="0" w:color="auto"/>
                <w:bottom w:val="none" w:sz="0" w:space="0" w:color="auto"/>
                <w:right w:val="none" w:sz="0" w:space="0" w:color="auto"/>
              </w:divBdr>
              <w:divsChild>
                <w:div w:id="165159906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818-010-9091-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n.org/Depts/los/convention_agreements/texts/unclos/part5.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o.org/3/W3244E/w3244e09.htm" TargetMode="External"/><Relationship Id="rId11" Type="http://schemas.openxmlformats.org/officeDocument/2006/relationships/hyperlink" Target="https://doi.org/10.1126/science.aao5646" TargetMode="External"/><Relationship Id="rId5" Type="http://schemas.openxmlformats.org/officeDocument/2006/relationships/hyperlink" Target="https://globalfishingwatch.org/faqs/what-is-ais/" TargetMode="External"/><Relationship Id="rId10" Type="http://schemas.openxmlformats.org/officeDocument/2006/relationships/hyperlink" Target="https://stats.oecd.org/glossary/detail.asp?ID=994" TargetMode="External"/><Relationship Id="rId4" Type="http://schemas.openxmlformats.org/officeDocument/2006/relationships/webSettings" Target="webSettings.xml"/><Relationship Id="rId9" Type="http://schemas.openxmlformats.org/officeDocument/2006/relationships/hyperlink" Target="https://doi.org/10.1007/s10818-010-909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Microsoft Office User</cp:lastModifiedBy>
  <cp:revision>5</cp:revision>
  <dcterms:created xsi:type="dcterms:W3CDTF">2021-05-11T22:03:00Z</dcterms:created>
  <dcterms:modified xsi:type="dcterms:W3CDTF">2021-09-03T20:19:00Z</dcterms:modified>
</cp:coreProperties>
</file>