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0392" w14:textId="52717C2E" w:rsidR="00F55F43" w:rsidRPr="00456AB1" w:rsidRDefault="004F31E1" w:rsidP="004F31E1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Glossary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4004"/>
        <w:gridCol w:w="4934"/>
      </w:tblGrid>
      <w:tr w:rsidR="004F31E1" w:rsidRPr="004F31E1" w14:paraId="748C427A" w14:textId="77777777" w:rsidTr="00067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8" w:space="0" w:color="auto"/>
              <w:bottom w:val="single" w:sz="8" w:space="0" w:color="auto"/>
            </w:tcBorders>
          </w:tcPr>
          <w:p w14:paraId="3786FD14" w14:textId="77777777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Term</w:t>
            </w:r>
          </w:p>
        </w:tc>
        <w:tc>
          <w:tcPr>
            <w:tcW w:w="4004" w:type="dxa"/>
            <w:tcBorders>
              <w:top w:val="single" w:sz="8" w:space="0" w:color="auto"/>
              <w:bottom w:val="single" w:sz="8" w:space="0" w:color="auto"/>
            </w:tcBorders>
          </w:tcPr>
          <w:p w14:paraId="50A7C540" w14:textId="77777777" w:rsidR="004F31E1" w:rsidRPr="004F31E1" w:rsidRDefault="004F31E1" w:rsidP="004F31E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Definition</w:t>
            </w:r>
          </w:p>
        </w:tc>
        <w:tc>
          <w:tcPr>
            <w:tcW w:w="4934" w:type="dxa"/>
            <w:tcBorders>
              <w:top w:val="single" w:sz="8" w:space="0" w:color="auto"/>
              <w:bottom w:val="single" w:sz="8" w:space="0" w:color="auto"/>
            </w:tcBorders>
          </w:tcPr>
          <w:p w14:paraId="4F47120C" w14:textId="77777777" w:rsidR="004F31E1" w:rsidRPr="004F31E1" w:rsidRDefault="004F31E1" w:rsidP="004F31E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Source</w:t>
            </w:r>
          </w:p>
        </w:tc>
      </w:tr>
      <w:tr w:rsidR="00067BF5" w:rsidRPr="004F31E1" w14:paraId="3D5A98B1" w14:textId="77777777" w:rsidTr="00067BF5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8" w:space="0" w:color="auto"/>
            </w:tcBorders>
            <w:vAlign w:val="center"/>
          </w:tcPr>
          <w:p w14:paraId="6705E0AA" w14:textId="7863BA70" w:rsidR="00067BF5" w:rsidRDefault="00067BF5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AIS</w:t>
            </w:r>
          </w:p>
        </w:tc>
        <w:tc>
          <w:tcPr>
            <w:tcW w:w="4004" w:type="dxa"/>
            <w:tcBorders>
              <w:top w:val="single" w:sz="8" w:space="0" w:color="auto"/>
            </w:tcBorders>
            <w:vAlign w:val="center"/>
          </w:tcPr>
          <w:p w14:paraId="6788D098" w14:textId="62222AC2" w:rsidR="00067BF5" w:rsidRPr="004F31E1" w:rsidRDefault="00067BF5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067BF5">
              <w:rPr>
                <w:rFonts w:ascii="Avenir Light" w:hAnsi="Avenir Light" w:cs="Arial"/>
                <w:sz w:val="20"/>
                <w:szCs w:val="20"/>
              </w:rPr>
              <w:t>Automatic Identification System: a system that transmits a ship’s position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and identifying characteristics </w:t>
            </w:r>
            <w:r w:rsidRPr="00067BF5">
              <w:rPr>
                <w:rFonts w:ascii="Avenir Light" w:hAnsi="Avenir Light" w:cs="Arial"/>
                <w:sz w:val="20"/>
                <w:szCs w:val="20"/>
              </w:rPr>
              <w:t>so that other ships are aware of its position</w:t>
            </w:r>
            <w:r>
              <w:rPr>
                <w:rFonts w:ascii="Avenir Light" w:hAnsi="Avenir Light" w:cs="Arial"/>
                <w:sz w:val="20"/>
                <w:szCs w:val="20"/>
              </w:rPr>
              <w:t>.</w:t>
            </w:r>
            <w:r w:rsidRPr="00067BF5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AIS is </w:t>
            </w:r>
            <w:r w:rsidRPr="00067BF5">
              <w:rPr>
                <w:rFonts w:ascii="Avenir Light" w:hAnsi="Avenir Light" w:cs="Arial"/>
                <w:sz w:val="20"/>
                <w:szCs w:val="20"/>
              </w:rPr>
              <w:t xml:space="preserve">mandated by the International Maritime Organization (IMO) for vessels larger than 300 gross </w:t>
            </w:r>
            <w:proofErr w:type="spellStart"/>
            <w:r w:rsidRPr="00067BF5">
              <w:rPr>
                <w:rFonts w:ascii="Avenir Light" w:hAnsi="Avenir Light" w:cs="Arial"/>
                <w:sz w:val="20"/>
                <w:szCs w:val="20"/>
              </w:rPr>
              <w:t>tonnes</w:t>
            </w:r>
            <w:proofErr w:type="spellEnd"/>
            <w:r w:rsidRPr="00067BF5">
              <w:rPr>
                <w:rFonts w:ascii="Avenir Light" w:hAnsi="Avenir Light" w:cs="Arial"/>
                <w:sz w:val="20"/>
                <w:szCs w:val="20"/>
              </w:rPr>
              <w:t xml:space="preserve"> that travel internationally</w:t>
            </w:r>
            <w:r>
              <w:rPr>
                <w:rFonts w:ascii="Avenir Light" w:hAnsi="Avenir Light" w:cs="Arial"/>
                <w:sz w:val="20"/>
                <w:szCs w:val="20"/>
              </w:rPr>
              <w:t>, but many countries require other vessels to have AIS onboard as well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>.</w:t>
            </w:r>
          </w:p>
        </w:tc>
        <w:tc>
          <w:tcPr>
            <w:tcW w:w="4934" w:type="dxa"/>
            <w:tcBorders>
              <w:top w:val="single" w:sz="8" w:space="0" w:color="auto"/>
            </w:tcBorders>
            <w:vAlign w:val="center"/>
          </w:tcPr>
          <w:p w14:paraId="06B73435" w14:textId="728E9085" w:rsidR="00067BF5" w:rsidRPr="004F31E1" w:rsidRDefault="00067BF5" w:rsidP="00067BF5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067BF5">
              <w:rPr>
                <w:rFonts w:ascii="Avenir Light" w:hAnsi="Avenir Light" w:cs="Arial"/>
                <w:sz w:val="20"/>
                <w:szCs w:val="20"/>
              </w:rPr>
              <w:t>Global Fishing Watch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 xml:space="preserve"> – </w:t>
            </w:r>
            <w:hyperlink r:id="rId5" w:history="1">
              <w:r w:rsidR="00CC2BE1" w:rsidRPr="00CC2B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What is AIS?</w:t>
              </w:r>
            </w:hyperlink>
          </w:p>
        </w:tc>
      </w:tr>
      <w:tr w:rsidR="00CC2BE1" w:rsidRPr="004F31E1" w14:paraId="333BD200" w14:textId="77777777" w:rsidTr="00067BF5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EDBE40D" w14:textId="351A731E" w:rsidR="00CC2BE1" w:rsidRDefault="00CC2B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distant water fishing</w:t>
            </w:r>
          </w:p>
        </w:tc>
        <w:tc>
          <w:tcPr>
            <w:tcW w:w="4004" w:type="dxa"/>
            <w:vAlign w:val="center"/>
          </w:tcPr>
          <w:p w14:paraId="64C8A342" w14:textId="5B58D1C9" w:rsidR="00CC2BE1" w:rsidRPr="00CC2B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Vessels fishing in all FAO major fishing areas other than those adjacent to the flag State, including on the high seas.</w:t>
            </w:r>
          </w:p>
        </w:tc>
        <w:tc>
          <w:tcPr>
            <w:tcW w:w="4934" w:type="dxa"/>
            <w:vAlign w:val="center"/>
          </w:tcPr>
          <w:p w14:paraId="002C0155" w14:textId="301A63D5" w:rsidR="00CC2B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R.J.R. Grainger and S.M. Garcia. </w:t>
            </w:r>
            <w:r w:rsidRPr="00CC2BE1">
              <w:rPr>
                <w:rFonts w:ascii="Avenir Light" w:hAnsi="Avenir Light" w:cs="Arial"/>
                <w:i/>
                <w:iCs/>
                <w:sz w:val="20"/>
                <w:szCs w:val="20"/>
              </w:rPr>
              <w:t>Chronicles of Marine Fishery Landings (1950-1994): Trend Analysis and Fisheries Potential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. FAO Fisheries Technical Paper 359 </w:t>
            </w:r>
            <w:hyperlink r:id="rId6" w:history="1">
              <w:r w:rsidRPr="00CC2B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http://www.fao.org/3/W3244E/w3244e09.htm</w:t>
              </w:r>
            </w:hyperlink>
            <w:bookmarkStart w:id="0" w:name="_GoBack"/>
            <w:bookmarkEnd w:id="0"/>
          </w:p>
        </w:tc>
      </w:tr>
      <w:tr w:rsidR="00067BF5" w:rsidRPr="004F31E1" w14:paraId="000E7A01" w14:textId="77777777" w:rsidTr="00067BF5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1ED90C3" w14:textId="72B31C18" w:rsidR="00067BF5" w:rsidRDefault="00067BF5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EEZ</w:t>
            </w:r>
          </w:p>
        </w:tc>
        <w:tc>
          <w:tcPr>
            <w:tcW w:w="4004" w:type="dxa"/>
            <w:vAlign w:val="center"/>
          </w:tcPr>
          <w:p w14:paraId="71D779AE" w14:textId="53CF46F7" w:rsidR="00067BF5" w:rsidRPr="004F31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Exclusive Economic Zone: 200 nautical mile area under full rights and jurisdiction of the coastal state</w:t>
            </w:r>
            <w:r>
              <w:rPr>
                <w:rFonts w:ascii="Avenir Light" w:hAnsi="Avenir Light" w:cs="Arial"/>
                <w:sz w:val="20"/>
                <w:szCs w:val="20"/>
              </w:rPr>
              <w:t>.</w:t>
            </w:r>
          </w:p>
        </w:tc>
        <w:tc>
          <w:tcPr>
            <w:tcW w:w="4934" w:type="dxa"/>
            <w:vAlign w:val="center"/>
          </w:tcPr>
          <w:p w14:paraId="7263F72D" w14:textId="257E6A23" w:rsidR="00067BF5" w:rsidRPr="004F31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hyperlink r:id="rId7" w:history="1">
              <w:r w:rsidRPr="00CC2B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United Nations Convention on the Law of the Sea – Part V</w:t>
              </w:r>
            </w:hyperlink>
          </w:p>
        </w:tc>
      </w:tr>
      <w:tr w:rsidR="004F31E1" w:rsidRPr="004F31E1" w14:paraId="7CB61B68" w14:textId="77777777" w:rsidTr="00067BF5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962B7" w14:textId="1759DE45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ishery subsidies</w:t>
            </w:r>
          </w:p>
        </w:tc>
        <w:tc>
          <w:tcPr>
            <w:tcW w:w="4004" w:type="dxa"/>
            <w:vAlign w:val="center"/>
          </w:tcPr>
          <w:p w14:paraId="12175324" w14:textId="51E2608C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Financial transfers, direct or indirect, from public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entities to the fishing sector, which help the sector make more profit</w:t>
            </w:r>
            <w:r>
              <w:rPr>
                <w:rFonts w:ascii="Avenir Light" w:hAnsi="Avenir Light" w:cs="Arial"/>
                <w:sz w:val="20"/>
                <w:szCs w:val="20"/>
              </w:rPr>
              <w:t>able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than it would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otherwise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be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>.</w:t>
            </w:r>
          </w:p>
        </w:tc>
        <w:tc>
          <w:tcPr>
            <w:tcW w:w="4934" w:type="dxa"/>
            <w:vAlign w:val="center"/>
          </w:tcPr>
          <w:p w14:paraId="23DD5296" w14:textId="520B1F5C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8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</w:tr>
      <w:tr w:rsidR="004F31E1" w:rsidRPr="004F31E1" w14:paraId="2D00FE71" w14:textId="77777777" w:rsidTr="00067BF5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1465997" w14:textId="7F4AA6C1" w:rsidR="004F31E1" w:rsidRPr="004F31E1" w:rsidRDefault="004F31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fishery subsidies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 xml:space="preserve">, 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>capacity-enhancing (h</w:t>
            </w:r>
            <w:r w:rsidR="00CC2BE1" w:rsidRPr="004F31E1">
              <w:rPr>
                <w:rFonts w:ascii="Avenir Light" w:hAnsi="Avenir Light" w:cs="Arial"/>
                <w:sz w:val="20"/>
                <w:szCs w:val="20"/>
              </w:rPr>
              <w:t>armful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>)</w:t>
            </w:r>
            <w:r w:rsidR="00CC2BE1"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</w:p>
        </w:tc>
        <w:tc>
          <w:tcPr>
            <w:tcW w:w="4004" w:type="dxa"/>
            <w:vAlign w:val="center"/>
          </w:tcPr>
          <w:p w14:paraId="08DFE34D" w14:textId="749ECD7F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>Programs that lead to disinvestments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in natural capital assets, developing fishing capacity to a point where resource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>overexploitation makes it impossible to achieve maximum sustainable long-term benefits</w:t>
            </w:r>
            <w:r w:rsidR="00CC2BE1">
              <w:rPr>
                <w:rFonts w:ascii="Avenir Light" w:hAnsi="Avenir Light" w:cs="Arial"/>
                <w:sz w:val="20"/>
                <w:szCs w:val="20"/>
              </w:rPr>
              <w:t>.</w:t>
            </w:r>
          </w:p>
        </w:tc>
        <w:tc>
          <w:tcPr>
            <w:tcW w:w="4934" w:type="dxa"/>
            <w:vAlign w:val="center"/>
          </w:tcPr>
          <w:p w14:paraId="101FBF77" w14:textId="77777777" w:rsidR="004F31E1" w:rsidRPr="004F31E1" w:rsidRDefault="004F31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Sumaila, U.R., Khan, A.S., Dyck, A.J. et al. </w:t>
            </w:r>
            <w:r w:rsidRPr="004F31E1">
              <w:rPr>
                <w:rFonts w:ascii="Avenir Light" w:hAnsi="Avenir Light" w:cs="Arial"/>
                <w:i/>
                <w:iCs/>
                <w:sz w:val="20"/>
                <w:szCs w:val="20"/>
              </w:rPr>
              <w:t>A bottom-up re-estimation of global fisheries subsidies.</w:t>
            </w:r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Journal of </w:t>
            </w:r>
            <w:proofErr w:type="spellStart"/>
            <w:r w:rsidRPr="004F31E1">
              <w:rPr>
                <w:rFonts w:ascii="Avenir Light" w:hAnsi="Avenir Light" w:cs="Arial"/>
                <w:sz w:val="20"/>
                <w:szCs w:val="20"/>
              </w:rPr>
              <w:t>Bioeconomics</w:t>
            </w:r>
            <w:proofErr w:type="spellEnd"/>
            <w:r w:rsidRPr="004F31E1">
              <w:rPr>
                <w:rFonts w:ascii="Avenir Light" w:hAnsi="Avenir Light" w:cs="Arial"/>
                <w:sz w:val="20"/>
                <w:szCs w:val="20"/>
              </w:rPr>
              <w:t xml:space="preserve"> 12, 201–225 (2010). </w:t>
            </w:r>
            <w:hyperlink r:id="rId9" w:history="1">
              <w:r w:rsidRPr="004F31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https://doi.org/10.1007/s10818-010-9091-8</w:t>
              </w:r>
            </w:hyperlink>
          </w:p>
        </w:tc>
      </w:tr>
      <w:tr w:rsidR="004F31E1" w:rsidRPr="004F31E1" w14:paraId="529BC99E" w14:textId="77777777" w:rsidTr="00CC2BE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B1A62C2" w14:textId="6852D8A4" w:rsidR="004F31E1" w:rsidRPr="004F31E1" w:rsidRDefault="00CC2B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fishing effort</w:t>
            </w:r>
          </w:p>
        </w:tc>
        <w:tc>
          <w:tcPr>
            <w:tcW w:w="4004" w:type="dxa"/>
            <w:vAlign w:val="center"/>
          </w:tcPr>
          <w:p w14:paraId="4E4B912E" w14:textId="7B6EA1A3" w:rsidR="004F31E1" w:rsidRPr="004F31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A measure of the amount of fishing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. For example, 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>the number of hours or days spent fishing, numbers of hooks used (i.e.</w:t>
            </w:r>
            <w:r>
              <w:rPr>
                <w:rFonts w:ascii="Avenir Light" w:hAnsi="Avenir Light" w:cs="Arial"/>
                <w:sz w:val="20"/>
                <w:szCs w:val="20"/>
              </w:rPr>
              <w:t>,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 in long- line fishing),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 or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 kilometers of nets used</w:t>
            </w:r>
            <w:r>
              <w:rPr>
                <w:rFonts w:ascii="Avenir Light" w:hAnsi="Avenir Light" w:cs="Arial"/>
                <w:sz w:val="20"/>
                <w:szCs w:val="20"/>
              </w:rPr>
              <w:t>.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 In this tool, we </w:t>
            </w:r>
            <w:r>
              <w:rPr>
                <w:rFonts w:ascii="Avenir Light" w:hAnsi="Avenir Light" w:cs="Arial"/>
                <w:sz w:val="20"/>
                <w:szCs w:val="20"/>
              </w:rPr>
              <w:t>express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 fishing effort </w:t>
            </w:r>
            <w:r>
              <w:rPr>
                <w:rFonts w:ascii="Avenir Light" w:hAnsi="Avenir Light" w:cs="Arial"/>
                <w:sz w:val="20"/>
                <w:szCs w:val="20"/>
              </w:rPr>
              <w:t xml:space="preserve">in units of 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>kilowatt-hours (kWh).</w:t>
            </w:r>
          </w:p>
        </w:tc>
        <w:tc>
          <w:tcPr>
            <w:tcW w:w="4934" w:type="dxa"/>
            <w:vAlign w:val="center"/>
          </w:tcPr>
          <w:p w14:paraId="440D7058" w14:textId="3A31FB74" w:rsidR="004F31E1" w:rsidRPr="004F31E1" w:rsidRDefault="00CC2BE1" w:rsidP="00CC2B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Review of Fisheries in OECD Countries: </w:t>
            </w:r>
            <w:hyperlink r:id="rId10" w:history="1">
              <w:r w:rsidRPr="00CC2B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Glossary</w:t>
              </w:r>
            </w:hyperlink>
            <w:r w:rsidRPr="00CC2BE1">
              <w:rPr>
                <w:rFonts w:ascii="Avenir Light" w:hAnsi="Avenir Light" w:cs="Arial"/>
                <w:sz w:val="20"/>
                <w:szCs w:val="20"/>
              </w:rPr>
              <w:t>, February 1998.</w:t>
            </w:r>
          </w:p>
        </w:tc>
      </w:tr>
      <w:tr w:rsidR="00CC2BE1" w:rsidRPr="004F31E1" w14:paraId="63E5BFE8" w14:textId="77777777" w:rsidTr="00CC2BE1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EAC165" w14:textId="711F9C8E" w:rsidR="00CC2BE1" w:rsidRDefault="00CC2B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flag state</w:t>
            </w:r>
          </w:p>
        </w:tc>
        <w:tc>
          <w:tcPr>
            <w:tcW w:w="4004" w:type="dxa"/>
            <w:vAlign w:val="center"/>
          </w:tcPr>
          <w:p w14:paraId="4B0A24EB" w14:textId="39344650" w:rsidR="00CC2BE1" w:rsidRPr="004F31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The State having registered a vessel under the national flag for fishing purposes.</w:t>
            </w:r>
          </w:p>
        </w:tc>
        <w:tc>
          <w:tcPr>
            <w:tcW w:w="4934" w:type="dxa"/>
            <w:vAlign w:val="center"/>
          </w:tcPr>
          <w:p w14:paraId="5F37347E" w14:textId="52F27877" w:rsidR="00CC2BE1" w:rsidRPr="004F31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FAO Fisheries and Aquaculture Department, FAO, 2014.</w:t>
            </w:r>
          </w:p>
        </w:tc>
      </w:tr>
      <w:tr w:rsidR="00CC2BE1" w:rsidRPr="004F31E1" w14:paraId="626C956B" w14:textId="77777777" w:rsidTr="00067BF5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bottom w:val="single" w:sz="8" w:space="0" w:color="auto"/>
            </w:tcBorders>
            <w:vAlign w:val="center"/>
          </w:tcPr>
          <w:p w14:paraId="42ED306F" w14:textId="3246EF9D" w:rsidR="00CC2BE1" w:rsidRDefault="00CC2BE1" w:rsidP="004F31E1">
            <w:pPr>
              <w:spacing w:before="120"/>
              <w:rPr>
                <w:rFonts w:ascii="Avenir Light" w:hAnsi="Avenir Light" w:cs="Arial"/>
                <w:sz w:val="20"/>
                <w:szCs w:val="20"/>
              </w:rPr>
            </w:pPr>
            <w:r>
              <w:rPr>
                <w:rFonts w:ascii="Avenir Light" w:hAnsi="Avenir Light" w:cs="Arial"/>
                <w:sz w:val="20"/>
                <w:szCs w:val="20"/>
              </w:rPr>
              <w:t>kWh</w:t>
            </w:r>
          </w:p>
        </w:tc>
        <w:tc>
          <w:tcPr>
            <w:tcW w:w="4004" w:type="dxa"/>
            <w:tcBorders>
              <w:bottom w:val="single" w:sz="8" w:space="0" w:color="auto"/>
            </w:tcBorders>
            <w:vAlign w:val="center"/>
          </w:tcPr>
          <w:p w14:paraId="2067F60E" w14:textId="3938198E" w:rsidR="00CC2BE1" w:rsidRPr="00CC2B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>Kilowatt-hours: amount of time spent fishing (hours) weighted by the engine power of the vessel (kW). Expressing fishing effort this way provides a better metric for comparing fishing effort across vessels with different gear types and/or sizes.</w:t>
            </w:r>
          </w:p>
        </w:tc>
        <w:tc>
          <w:tcPr>
            <w:tcW w:w="4934" w:type="dxa"/>
            <w:tcBorders>
              <w:bottom w:val="single" w:sz="8" w:space="0" w:color="auto"/>
            </w:tcBorders>
            <w:vAlign w:val="center"/>
          </w:tcPr>
          <w:p w14:paraId="4F5747DC" w14:textId="61CA145A" w:rsidR="00CC2BE1" w:rsidRPr="00CC2BE1" w:rsidRDefault="00CC2BE1" w:rsidP="004F31E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Light" w:hAnsi="Avenir Light" w:cs="Arial"/>
                <w:sz w:val="20"/>
                <w:szCs w:val="20"/>
              </w:rPr>
            </w:pP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Costello, C., Millage, K., </w:t>
            </w:r>
            <w:proofErr w:type="spellStart"/>
            <w:r w:rsidRPr="00CC2BE1">
              <w:rPr>
                <w:rFonts w:ascii="Avenir Light" w:hAnsi="Avenir Light" w:cs="Arial"/>
                <w:sz w:val="20"/>
                <w:szCs w:val="20"/>
              </w:rPr>
              <w:t>Eisenbarth</w:t>
            </w:r>
            <w:proofErr w:type="spellEnd"/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, S. et al. </w:t>
            </w:r>
            <w:r w:rsidRPr="00CC2BE1">
              <w:rPr>
                <w:rFonts w:ascii="Avenir Light" w:hAnsi="Avenir Light" w:cs="Arial"/>
                <w:i/>
                <w:iCs/>
                <w:sz w:val="20"/>
                <w:szCs w:val="20"/>
              </w:rPr>
              <w:t>Ambitious subsidy reform by the WTO presents opportunities for ocean health restoration.</w:t>
            </w:r>
            <w:r w:rsidRPr="00CC2BE1">
              <w:rPr>
                <w:rFonts w:ascii="Avenir Light" w:hAnsi="Avenir Light" w:cs="Arial"/>
                <w:sz w:val="20"/>
                <w:szCs w:val="20"/>
              </w:rPr>
              <w:t xml:space="preserve"> Sustainability Science (2020). </w:t>
            </w:r>
            <w:hyperlink r:id="rId11" w:history="1">
              <w:r w:rsidRPr="00CC2BE1">
                <w:rPr>
                  <w:rStyle w:val="Hyperlink"/>
                  <w:rFonts w:ascii="Avenir Light" w:hAnsi="Avenir Light" w:cs="Arial"/>
                  <w:sz w:val="20"/>
                  <w:szCs w:val="20"/>
                </w:rPr>
                <w:t>https://doi.org/10.1007/s11625-020-00865-z</w:t>
              </w:r>
            </w:hyperlink>
          </w:p>
        </w:tc>
      </w:tr>
    </w:tbl>
    <w:p w14:paraId="211BF44F" w14:textId="2EA97F57" w:rsidR="00D23B6D" w:rsidRPr="001B314B" w:rsidRDefault="00D23B6D" w:rsidP="004F31E1">
      <w:pPr>
        <w:spacing w:before="120"/>
        <w:rPr>
          <w:rFonts w:ascii="Avenir Light" w:hAnsi="Avenir Light" w:cs="Arial"/>
          <w:b/>
        </w:rPr>
      </w:pPr>
    </w:p>
    <w:sectPr w:rsidR="00D23B6D" w:rsidRPr="001B314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67BF5"/>
    <w:rsid w:val="000C3D9C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4F31E1"/>
    <w:rsid w:val="00584202"/>
    <w:rsid w:val="005D7046"/>
    <w:rsid w:val="00661F6B"/>
    <w:rsid w:val="00835405"/>
    <w:rsid w:val="00886014"/>
    <w:rsid w:val="009430F1"/>
    <w:rsid w:val="00A96954"/>
    <w:rsid w:val="00B02A16"/>
    <w:rsid w:val="00C03F11"/>
    <w:rsid w:val="00C320B2"/>
    <w:rsid w:val="00C94DBF"/>
    <w:rsid w:val="00CB0B0C"/>
    <w:rsid w:val="00CC2BE1"/>
    <w:rsid w:val="00CC4DCB"/>
    <w:rsid w:val="00D23B6D"/>
    <w:rsid w:val="00D60543"/>
    <w:rsid w:val="00D8341C"/>
    <w:rsid w:val="00DB02E3"/>
    <w:rsid w:val="00DC5DF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table" w:styleId="GridTable1Light">
    <w:name w:val="Grid Table 1 Light"/>
    <w:basedOn w:val="TableNormal"/>
    <w:uiPriority w:val="46"/>
    <w:rsid w:val="004F31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31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818-010-9091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.org/Depts/los/convention_agreements/texts/unclos/part5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3/W3244E/w3244e09.htm" TargetMode="External"/><Relationship Id="rId11" Type="http://schemas.openxmlformats.org/officeDocument/2006/relationships/hyperlink" Target="https://doi.org/10.1007/s11625-020-00865-z" TargetMode="External"/><Relationship Id="rId5" Type="http://schemas.openxmlformats.org/officeDocument/2006/relationships/hyperlink" Target="https://globalfishingwatch.org/faqs/what-is-ais/" TargetMode="External"/><Relationship Id="rId10" Type="http://schemas.openxmlformats.org/officeDocument/2006/relationships/hyperlink" Target="https://stats.oecd.org/glossary/detail.asp?ID=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818-010-9091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2021-05-11T22:03:00Z</dcterms:created>
  <dcterms:modified xsi:type="dcterms:W3CDTF">2021-05-11T22:12:00Z</dcterms:modified>
</cp:coreProperties>
</file>