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8FE2" w14:textId="235C4F7D" w:rsidR="00455BDA" w:rsidRPr="00177C21" w:rsidRDefault="006373AF" w:rsidP="00177C21">
      <w:pPr>
        <w:jc w:val="center"/>
        <w:rPr>
          <w:rFonts w:ascii="Times New Roman" w:hAnsi="Times New Roman" w:cs="Times New Roman"/>
          <w:b/>
          <w:bCs/>
          <w:color w:val="303030"/>
          <w:sz w:val="32"/>
          <w:szCs w:val="32"/>
        </w:rPr>
      </w:pPr>
      <w:r w:rsidRPr="006373AF">
        <w:rPr>
          <w:rFonts w:ascii="Times New Roman" w:hAnsi="Times New Roman" w:cs="Times New Roman"/>
          <w:b/>
          <w:bCs/>
          <w:color w:val="303030"/>
          <w:sz w:val="32"/>
          <w:szCs w:val="32"/>
        </w:rPr>
        <w:t>Evolution of Equation of State</w:t>
      </w:r>
      <w:r w:rsidR="00F7370F">
        <w:rPr>
          <w:rFonts w:ascii="Times New Roman" w:hAnsi="Times New Roman" w:cs="Times New Roman"/>
          <w:b/>
          <w:bCs/>
          <w:color w:val="303030"/>
          <w:sz w:val="32"/>
          <w:szCs w:val="32"/>
        </w:rPr>
        <w:t xml:space="preserve"> for </w:t>
      </w:r>
      <w:r w:rsidR="003F03B8">
        <w:rPr>
          <w:rFonts w:ascii="Times New Roman" w:hAnsi="Times New Roman" w:cs="Times New Roman"/>
          <w:b/>
          <w:bCs/>
          <w:color w:val="303030"/>
          <w:sz w:val="32"/>
          <w:szCs w:val="32"/>
        </w:rPr>
        <w:t xml:space="preserve">Molecular </w:t>
      </w:r>
      <w:r w:rsidR="00F7370F">
        <w:rPr>
          <w:rFonts w:ascii="Times New Roman" w:hAnsi="Times New Roman" w:cs="Times New Roman"/>
          <w:b/>
          <w:bCs/>
          <w:color w:val="303030"/>
          <w:sz w:val="32"/>
          <w:szCs w:val="32"/>
        </w:rPr>
        <w:t>Fluids</w:t>
      </w:r>
      <w:r w:rsidRPr="006373AF">
        <w:rPr>
          <w:rFonts w:ascii="Times New Roman" w:hAnsi="Times New Roman" w:cs="Times New Roman"/>
          <w:b/>
          <w:bCs/>
          <w:color w:val="303030"/>
          <w:sz w:val="32"/>
          <w:szCs w:val="32"/>
        </w:rPr>
        <w:t>: Reconciling</w:t>
      </w:r>
      <w:r w:rsidR="004B54C1">
        <w:rPr>
          <w:rFonts w:ascii="Times New Roman" w:hAnsi="Times New Roman" w:cs="Times New Roman"/>
          <w:b/>
          <w:bCs/>
          <w:color w:val="303030"/>
          <w:sz w:val="32"/>
          <w:szCs w:val="32"/>
        </w:rPr>
        <w:t xml:space="preserve"> </w:t>
      </w:r>
      <w:r w:rsidRPr="006373AF">
        <w:rPr>
          <w:rFonts w:ascii="Times New Roman" w:hAnsi="Times New Roman" w:cs="Times New Roman"/>
          <w:b/>
          <w:bCs/>
          <w:color w:val="303030"/>
          <w:sz w:val="32"/>
          <w:szCs w:val="32"/>
        </w:rPr>
        <w:t>Molecular Rigor with Industrial Engineering Demands</w:t>
      </w:r>
    </w:p>
    <w:p w14:paraId="4B8391D7" w14:textId="77777777" w:rsidR="00455BDA" w:rsidRPr="00414C25" w:rsidRDefault="00455BDA" w:rsidP="00ED120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535A9C3" w14:textId="77777777" w:rsidR="00ED120A" w:rsidRDefault="003E0E17" w:rsidP="00ED120A">
      <w:pPr>
        <w:pStyle w:val="p1"/>
        <w:spacing w:before="0" w:beforeAutospacing="0" w:after="0" w:afterAutospacing="0"/>
        <w:jc w:val="center"/>
        <w:rPr>
          <w:b/>
          <w:bCs/>
        </w:rPr>
      </w:pPr>
      <w:r w:rsidRPr="00CE1C8F">
        <w:rPr>
          <w:b/>
          <w:bCs/>
          <w:u w:val="single"/>
        </w:rPr>
        <w:t xml:space="preserve">A. </w:t>
      </w:r>
      <w:proofErr w:type="spellStart"/>
      <w:r w:rsidRPr="00CE1C8F">
        <w:rPr>
          <w:b/>
          <w:bCs/>
          <w:u w:val="single"/>
        </w:rPr>
        <w:t>Trokhymchuk</w:t>
      </w:r>
      <w:proofErr w:type="spellEnd"/>
    </w:p>
    <w:p w14:paraId="6287A2F5" w14:textId="77777777" w:rsidR="00E550CC" w:rsidRDefault="003E0E17" w:rsidP="00ED120A">
      <w:pPr>
        <w:pStyle w:val="p1"/>
        <w:spacing w:before="0" w:beforeAutospacing="0" w:after="0" w:afterAutospacing="0"/>
        <w:jc w:val="center"/>
        <w:rPr>
          <w:sz w:val="22"/>
          <w:szCs w:val="22"/>
        </w:rPr>
      </w:pPr>
      <w:r>
        <w:br/>
      </w:r>
      <w:r w:rsidRPr="004E7259">
        <w:rPr>
          <w:sz w:val="22"/>
          <w:szCs w:val="22"/>
        </w:rPr>
        <w:t>Yukhnovskii Institute for Condensed Matter Physics of the NAS of Ukraine, Lviv 79011, Ukraine</w:t>
      </w:r>
    </w:p>
    <w:p w14:paraId="399F0936" w14:textId="57368B37" w:rsidR="003E0E17" w:rsidRPr="00ED120A" w:rsidRDefault="003E0E17" w:rsidP="00ED120A">
      <w:pPr>
        <w:pStyle w:val="p1"/>
        <w:spacing w:before="0" w:beforeAutospacing="0" w:after="0" w:afterAutospacing="0"/>
        <w:jc w:val="center"/>
        <w:rPr>
          <w:b/>
          <w:bCs/>
        </w:rPr>
      </w:pPr>
      <w:r w:rsidRPr="004E7259">
        <w:rPr>
          <w:sz w:val="22"/>
          <w:szCs w:val="22"/>
        </w:rPr>
        <w:br/>
        <w:t>e-mail: adt@icmp.lviv.ua</w:t>
      </w:r>
    </w:p>
    <w:p w14:paraId="51A0160A" w14:textId="77777777" w:rsidR="00455BDA" w:rsidRDefault="00455BDA">
      <w:pPr>
        <w:rPr>
          <w:rFonts w:ascii="Times New Roman" w:hAnsi="Times New Roman" w:cs="Times New Roman"/>
          <w:lang w:val="en-GB"/>
        </w:rPr>
      </w:pPr>
    </w:p>
    <w:p w14:paraId="1E2941D2" w14:textId="77777777" w:rsidR="003E0E17" w:rsidRDefault="003E0E17" w:rsidP="003E0E17">
      <w:pPr>
        <w:pStyle w:val="p1"/>
        <w:spacing w:before="0" w:beforeAutospacing="0" w:after="0" w:afterAutospacing="0"/>
      </w:pPr>
      <w:r>
        <w:t xml:space="preserve">The quest for a generalized equation of state (EOS) for molecular fluids remains a central challenge bridging fundamental statistical mechanics and applied chemical engineering. The conceptual foundation for understanding fluid non-ideality was established more than a century ago by the van der Waals (vdW) theory, which identified excluded volume and intermolecular cohesion as the principal factors governing fluid phase behavior [1]. Despite well-known theoretical limitations, particularly in the treatment of short-range repulsion, vdW-type cubic equations of state (CEOS), such as the Soave-Redlich-Kwong and Peng-Robinson models, remain the standard industrial tools for process simulation [2,3]. Their continuing success is largely due to their mathematical simplicity, computational robustness, and effective empirical parameterization of attractive interactions [2]. </w:t>
      </w:r>
    </w:p>
    <w:p w14:paraId="304C349D" w14:textId="29E3AB24" w:rsidR="003E0E17" w:rsidRDefault="003E0E17" w:rsidP="003E0E17">
      <w:pPr>
        <w:pStyle w:val="p1"/>
        <w:spacing w:before="0" w:beforeAutospacing="0" w:after="0" w:afterAutospacing="0"/>
        <w:ind w:firstLine="708"/>
      </w:pPr>
      <w:r>
        <w:t>In contrast, modern statistical mechanics seeks to establish a rigorous connection between macroscopic thermodynamic behavior and microscopic intermolecular forces through thermodynamic perturbation theory (TPT). Traditional TPT approaches employ a purely repulsive hard-sphere (HS) reference system and therefore require higher-order perturbation terms to achieve quantitative accuracy. Recent developments, however, demonstrate the advantages of non-HS reference systems, in which the short-range attractive contribution is incorporated directly into the reference state. Such range-based decompositions substantially reduce the perturbation magnitude and restore the viability of highly accurate analytical first-order TPT descriptions [4,5].</w:t>
      </w:r>
    </w:p>
    <w:p w14:paraId="55827234" w14:textId="2F71ECD8" w:rsidR="003E0E17" w:rsidRDefault="003E0E17" w:rsidP="003E0E17">
      <w:pPr>
        <w:pStyle w:val="p1"/>
        <w:spacing w:before="0" w:beforeAutospacing="0" w:after="0" w:afterAutospacing="0"/>
        <w:ind w:firstLine="708"/>
      </w:pPr>
      <w:r>
        <w:t>At the same time, translating microscopically rigorous EOS models into general engineering practice remains challenging. Advanced non-cubic EOS formulations, including Statistical Associating Fluid Theory (SAFT)-type approaches, provide improved predictive capabilities for complex and associating fluids, but may also exhibit non-physical mathematical artifacts, such as fictitious critical points or anomalous multiple-volume roots, which complicate reliable industrial implementation [6]. In parallel, alternative interpretations of supercritical fluid behavior based on higher-order percolation transitions have recently been proposed, suggesting the existence of a mesophase separating liquid-like and gas-like states [7].</w:t>
      </w:r>
    </w:p>
    <w:p w14:paraId="04BAC966" w14:textId="4EBF9ADA" w:rsidR="003E0E17" w:rsidRDefault="003E0E17" w:rsidP="003E0E17">
      <w:pPr>
        <w:pStyle w:val="p1"/>
        <w:spacing w:before="0" w:beforeAutospacing="0"/>
        <w:ind w:firstLine="708"/>
      </w:pPr>
      <w:r>
        <w:t>This lecture will review the historical evolution of EOS development and analyze the structural trade-offs between empirical simplicity and theoretical rigor. Particular emphasis will be placed on recent non-HS perturbation approaches developed in our work, which aim to reconcile molecular realism with analytical tractability. By combining modern molecular simulation results, range-separated perturbation schemes, and rigorous analysis of mathematical artifacts, we outline a pathway toward a new generation of microscopically grounded EOS models suitable for both fundamental studies and industrial chemical process design [8].</w:t>
      </w:r>
    </w:p>
    <w:p w14:paraId="2F3C5607" w14:textId="1E9E823B" w:rsidR="003E0E17" w:rsidRDefault="003E0E17" w:rsidP="003E0E17">
      <w:pPr>
        <w:pStyle w:val="p2"/>
        <w:spacing w:after="0" w:afterAutospacing="0"/>
      </w:pPr>
      <w:r>
        <w:rPr>
          <w:b/>
          <w:bCs/>
        </w:rPr>
        <w:t>References</w:t>
      </w:r>
    </w:p>
    <w:p w14:paraId="2663CF4F" w14:textId="355E73FA" w:rsidR="009B7FE3" w:rsidRPr="003E0E17" w:rsidRDefault="003E0E17" w:rsidP="003E0E17">
      <w:pPr>
        <w:pStyle w:val="p1"/>
        <w:spacing w:before="0" w:beforeAutospacing="0" w:after="0" w:afterAutospacing="0"/>
      </w:pPr>
      <w:r>
        <w:t xml:space="preserve">[1] J.O. Valderrama, </w:t>
      </w:r>
      <w:r>
        <w:rPr>
          <w:rStyle w:val="s1"/>
          <w:i/>
          <w:iCs/>
        </w:rPr>
        <w:t>J. Supercritical Fluids</w:t>
      </w:r>
      <w:r>
        <w:t xml:space="preserve">, </w:t>
      </w:r>
      <w:r>
        <w:rPr>
          <w:rStyle w:val="s1"/>
          <w:b/>
          <w:bCs/>
        </w:rPr>
        <w:t>55</w:t>
      </w:r>
      <w:r>
        <w:t>, 415 (2010).</w:t>
      </w:r>
      <w:r>
        <w:br/>
        <w:t xml:space="preserve">[2] G.M. Kontogeorgis, R. Privat and J.N. Jaubert, </w:t>
      </w:r>
      <w:r>
        <w:rPr>
          <w:rStyle w:val="s1"/>
          <w:i/>
          <w:iCs/>
        </w:rPr>
        <w:t>J. Chem. Eng. Data</w:t>
      </w:r>
      <w:r>
        <w:t xml:space="preserve">, </w:t>
      </w:r>
      <w:r>
        <w:rPr>
          <w:rStyle w:val="s1"/>
          <w:b/>
          <w:bCs/>
        </w:rPr>
        <w:t>64</w:t>
      </w:r>
      <w:r>
        <w:t>, 4619 (2019).</w:t>
      </w:r>
      <w:r>
        <w:br/>
        <w:t xml:space="preserve">[3] S. Gupta, J.R. Elliott, A. Anderko, J. Crosthwaite, W.G. Chapman and C.T. Lira, </w:t>
      </w:r>
      <w:r>
        <w:rPr>
          <w:rStyle w:val="s1"/>
          <w:i/>
          <w:iCs/>
        </w:rPr>
        <w:t>Ind. Eng. Chem. Res.</w:t>
      </w:r>
      <w:r>
        <w:t xml:space="preserve">, </w:t>
      </w:r>
      <w:r>
        <w:rPr>
          <w:rStyle w:val="s1"/>
          <w:b/>
          <w:bCs/>
        </w:rPr>
        <w:t>62</w:t>
      </w:r>
      <w:r>
        <w:t>, 3394 (2023).</w:t>
      </w:r>
      <w:r>
        <w:br/>
        <w:t xml:space="preserve">[4] I. Nezbeda, R. Melnyk and A. Trokhymchuk, </w:t>
      </w:r>
      <w:r>
        <w:rPr>
          <w:rStyle w:val="s1"/>
          <w:i/>
          <w:iCs/>
        </w:rPr>
        <w:t>J. Supercritical Fluids</w:t>
      </w:r>
      <w:r>
        <w:t xml:space="preserve">, </w:t>
      </w:r>
      <w:r>
        <w:rPr>
          <w:rStyle w:val="s1"/>
          <w:b/>
          <w:bCs/>
        </w:rPr>
        <w:t>55</w:t>
      </w:r>
      <w:r>
        <w:t>, 448 (2010).</w:t>
      </w:r>
      <w:r>
        <w:br/>
        <w:t xml:space="preserve">[5] A. Trokhymchuk, V. Hordiichuk, R. Melnyk and I. Nezbeda, </w:t>
      </w:r>
      <w:r>
        <w:rPr>
          <w:rStyle w:val="s1"/>
          <w:i/>
          <w:iCs/>
        </w:rPr>
        <w:t>arXiv:2604.25882</w:t>
      </w:r>
      <w:r>
        <w:t xml:space="preserve"> (2026).</w:t>
      </w:r>
      <w:r>
        <w:br/>
        <w:t xml:space="preserve">[6] N.M. Alsaifi and J.R. Elliott, </w:t>
      </w:r>
      <w:r>
        <w:rPr>
          <w:rStyle w:val="s1"/>
          <w:i/>
          <w:iCs/>
        </w:rPr>
        <w:t>Ind. Eng. Chem. Res.</w:t>
      </w:r>
      <w:r>
        <w:t xml:space="preserve">, </w:t>
      </w:r>
      <w:r>
        <w:rPr>
          <w:rStyle w:val="s1"/>
          <w:b/>
          <w:bCs/>
        </w:rPr>
        <w:t>61</w:t>
      </w:r>
      <w:r>
        <w:t>, 15661 (2022).</w:t>
      </w:r>
      <w:r>
        <w:br/>
        <w:t xml:space="preserve">[7] J.F. Maguire and L.V. Woodcock, </w:t>
      </w:r>
      <w:r>
        <w:rPr>
          <w:rStyle w:val="s1"/>
          <w:i/>
          <w:iCs/>
        </w:rPr>
        <w:t>J. Molec. Liq.</w:t>
      </w:r>
      <w:r>
        <w:t xml:space="preserve">, </w:t>
      </w:r>
      <w:r>
        <w:rPr>
          <w:rStyle w:val="s1"/>
          <w:b/>
          <w:bCs/>
        </w:rPr>
        <w:t>373</w:t>
      </w:r>
      <w:r>
        <w:t>, 121199 (2023).</w:t>
      </w:r>
      <w:r>
        <w:br/>
      </w:r>
      <w:r>
        <w:lastRenderedPageBreak/>
        <w:t xml:space="preserve">[8] J.M. Kontogeorgis, R. Dohrn, I.G. Economou, J.C. de Hemptinne, A. ten Kate, S. Kuitunen, M. Mooijer, L.F. Zilnik and V. Vesovic, </w:t>
      </w:r>
      <w:r>
        <w:rPr>
          <w:rStyle w:val="s1"/>
          <w:i/>
          <w:iCs/>
        </w:rPr>
        <w:t>Ind. Eng. Chem. Res.</w:t>
      </w:r>
      <w:r>
        <w:t xml:space="preserve">, </w:t>
      </w:r>
      <w:r>
        <w:rPr>
          <w:rStyle w:val="s1"/>
          <w:b/>
          <w:bCs/>
        </w:rPr>
        <w:t>60</w:t>
      </w:r>
      <w:r>
        <w:t>, 4987 (2021).</w:t>
      </w:r>
    </w:p>
    <w:sectPr w:rsidR="009B7FE3" w:rsidRPr="003E0E17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F303" w14:textId="77777777" w:rsidR="00900FBC" w:rsidRDefault="00900FB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75C3C2A" w14:textId="77777777" w:rsidR="00900FBC" w:rsidRDefault="00900FB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6C5E" w14:textId="77777777" w:rsidR="00900FBC" w:rsidRDefault="00900FB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89D8F83" w14:textId="77777777" w:rsidR="00900FBC" w:rsidRDefault="00900FB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75C0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679D3185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9450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463D2"/>
    <w:rsid w:val="000908E8"/>
    <w:rsid w:val="000D2FA6"/>
    <w:rsid w:val="000D4205"/>
    <w:rsid w:val="000E068C"/>
    <w:rsid w:val="000E2212"/>
    <w:rsid w:val="001074BF"/>
    <w:rsid w:val="00121503"/>
    <w:rsid w:val="00177C21"/>
    <w:rsid w:val="00193928"/>
    <w:rsid w:val="00231302"/>
    <w:rsid w:val="00253636"/>
    <w:rsid w:val="00263205"/>
    <w:rsid w:val="00274257"/>
    <w:rsid w:val="002A2BE3"/>
    <w:rsid w:val="002D2CBB"/>
    <w:rsid w:val="002E2D20"/>
    <w:rsid w:val="00347A46"/>
    <w:rsid w:val="00353EAC"/>
    <w:rsid w:val="00365F82"/>
    <w:rsid w:val="003A402D"/>
    <w:rsid w:val="003E0E17"/>
    <w:rsid w:val="003F03B8"/>
    <w:rsid w:val="00414C25"/>
    <w:rsid w:val="00455BDA"/>
    <w:rsid w:val="00464BEB"/>
    <w:rsid w:val="004931DE"/>
    <w:rsid w:val="004B54C1"/>
    <w:rsid w:val="004B6472"/>
    <w:rsid w:val="004C64EB"/>
    <w:rsid w:val="004E30A4"/>
    <w:rsid w:val="004E7259"/>
    <w:rsid w:val="00501487"/>
    <w:rsid w:val="00545A0F"/>
    <w:rsid w:val="005469D9"/>
    <w:rsid w:val="005545FA"/>
    <w:rsid w:val="00586A94"/>
    <w:rsid w:val="005A089E"/>
    <w:rsid w:val="005A59EA"/>
    <w:rsid w:val="005B2556"/>
    <w:rsid w:val="005C305C"/>
    <w:rsid w:val="005C41E1"/>
    <w:rsid w:val="005F7FCC"/>
    <w:rsid w:val="0061348E"/>
    <w:rsid w:val="006373AF"/>
    <w:rsid w:val="00641F63"/>
    <w:rsid w:val="0066218E"/>
    <w:rsid w:val="00684B09"/>
    <w:rsid w:val="006A41DD"/>
    <w:rsid w:val="006B6FA2"/>
    <w:rsid w:val="006C3A1F"/>
    <w:rsid w:val="006D29C2"/>
    <w:rsid w:val="006E7E7A"/>
    <w:rsid w:val="00736CAF"/>
    <w:rsid w:val="00790F76"/>
    <w:rsid w:val="007C1576"/>
    <w:rsid w:val="007C5B23"/>
    <w:rsid w:val="007D40D8"/>
    <w:rsid w:val="007E5A55"/>
    <w:rsid w:val="007F6CCF"/>
    <w:rsid w:val="00803424"/>
    <w:rsid w:val="0081503C"/>
    <w:rsid w:val="00825926"/>
    <w:rsid w:val="00835925"/>
    <w:rsid w:val="008373DC"/>
    <w:rsid w:val="0085659C"/>
    <w:rsid w:val="008A5395"/>
    <w:rsid w:val="008B09B5"/>
    <w:rsid w:val="008C5260"/>
    <w:rsid w:val="00900FBC"/>
    <w:rsid w:val="00926AA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C78"/>
    <w:rsid w:val="00B21318"/>
    <w:rsid w:val="00B70E27"/>
    <w:rsid w:val="00BB43B0"/>
    <w:rsid w:val="00BF5588"/>
    <w:rsid w:val="00C106D6"/>
    <w:rsid w:val="00C265C9"/>
    <w:rsid w:val="00C75D52"/>
    <w:rsid w:val="00CB1F1E"/>
    <w:rsid w:val="00CB6020"/>
    <w:rsid w:val="00CD29C8"/>
    <w:rsid w:val="00CE1C8F"/>
    <w:rsid w:val="00CF7596"/>
    <w:rsid w:val="00D062B5"/>
    <w:rsid w:val="00D077BA"/>
    <w:rsid w:val="00D334E6"/>
    <w:rsid w:val="00D412F4"/>
    <w:rsid w:val="00D656A7"/>
    <w:rsid w:val="00D808D2"/>
    <w:rsid w:val="00D8300D"/>
    <w:rsid w:val="00D90AA2"/>
    <w:rsid w:val="00DF72A9"/>
    <w:rsid w:val="00E3548C"/>
    <w:rsid w:val="00E4528E"/>
    <w:rsid w:val="00E519B2"/>
    <w:rsid w:val="00E550CC"/>
    <w:rsid w:val="00E80C4B"/>
    <w:rsid w:val="00E931EB"/>
    <w:rsid w:val="00ED120A"/>
    <w:rsid w:val="00ED3DD1"/>
    <w:rsid w:val="00EE08EF"/>
    <w:rsid w:val="00EE79AA"/>
    <w:rsid w:val="00EF2E31"/>
    <w:rsid w:val="00F0375E"/>
    <w:rsid w:val="00F7370F"/>
    <w:rsid w:val="00F778AE"/>
    <w:rsid w:val="00F83434"/>
    <w:rsid w:val="00F932FB"/>
    <w:rsid w:val="00FC091B"/>
    <w:rsid w:val="00FD6BEB"/>
    <w:rsid w:val="00FF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6CC5E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6373AF"/>
  </w:style>
  <w:style w:type="character" w:customStyle="1" w:styleId="arxivid">
    <w:name w:val="arxivid"/>
    <w:basedOn w:val="DefaultParagraphFont"/>
    <w:rsid w:val="00545A0F"/>
  </w:style>
  <w:style w:type="paragraph" w:customStyle="1" w:styleId="p1">
    <w:name w:val="p1"/>
    <w:basedOn w:val="Normal"/>
    <w:rsid w:val="003E0E17"/>
    <w:pPr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en-GB"/>
    </w:rPr>
  </w:style>
  <w:style w:type="paragraph" w:customStyle="1" w:styleId="p2">
    <w:name w:val="p2"/>
    <w:basedOn w:val="Normal"/>
    <w:rsid w:val="003E0E17"/>
    <w:pPr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en-GB"/>
    </w:rPr>
  </w:style>
  <w:style w:type="character" w:customStyle="1" w:styleId="s1">
    <w:name w:val="s1"/>
    <w:basedOn w:val="DefaultParagraphFont"/>
    <w:rsid w:val="003E0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Marcello Sega</cp:lastModifiedBy>
  <cp:revision>11</cp:revision>
  <cp:lastPrinted>2016-01-14T19:34:00Z</cp:lastPrinted>
  <dcterms:created xsi:type="dcterms:W3CDTF">2026-05-08T07:55:00Z</dcterms:created>
  <dcterms:modified xsi:type="dcterms:W3CDTF">2026-08-18T13:19:00Z</dcterms:modified>
</cp:coreProperties>
</file>