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953EC" w14:textId="6B974F75" w:rsidR="008D71D2" w:rsidRPr="008D71D2" w:rsidRDefault="00637F27" w:rsidP="008D71D2">
      <w:pPr>
        <w:jc w:val="center"/>
        <w:rPr>
          <w:rFonts w:ascii="Times New Roman" w:hAnsi="Times New Roman" w:cs="Times New Roman"/>
          <w:b/>
          <w:bCs/>
          <w:sz w:val="32"/>
          <w:szCs w:val="32"/>
          <w:lang w:val="en-GB"/>
        </w:rPr>
      </w:pPr>
      <w:r w:rsidRPr="00637F27">
        <w:rPr>
          <w:rFonts w:ascii="Times New Roman" w:hAnsi="Times New Roman" w:cs="Times New Roman"/>
          <w:b/>
          <w:bCs/>
          <w:sz w:val="32"/>
          <w:szCs w:val="32"/>
          <w:lang w:val="en-GB"/>
        </w:rPr>
        <w:t xml:space="preserve">Rational Design </w:t>
      </w:r>
      <w:r>
        <w:rPr>
          <w:rFonts w:ascii="Times New Roman" w:hAnsi="Times New Roman" w:cs="Times New Roman"/>
          <w:b/>
          <w:bCs/>
          <w:sz w:val="32"/>
          <w:szCs w:val="32"/>
          <w:lang w:val="en-GB"/>
        </w:rPr>
        <w:t>o</w:t>
      </w:r>
      <w:r w:rsidRPr="00637F27">
        <w:rPr>
          <w:rFonts w:ascii="Times New Roman" w:hAnsi="Times New Roman" w:cs="Times New Roman"/>
          <w:b/>
          <w:bCs/>
          <w:sz w:val="32"/>
          <w:szCs w:val="32"/>
          <w:lang w:val="en-GB"/>
        </w:rPr>
        <w:t>f Deep Eutectic Electrolytes For Sustainable Energy Storage</w:t>
      </w:r>
      <w:r>
        <w:rPr>
          <w:rFonts w:ascii="Times New Roman" w:hAnsi="Times New Roman" w:cs="Times New Roman"/>
          <w:b/>
          <w:bCs/>
          <w:sz w:val="32"/>
          <w:szCs w:val="32"/>
          <w:lang w:val="en-GB"/>
        </w:rPr>
        <w:br/>
      </w:r>
    </w:p>
    <w:p w14:paraId="50BEF588" w14:textId="77777777" w:rsidR="00455BDA" w:rsidRPr="00414C25" w:rsidRDefault="00455BDA">
      <w:pPr>
        <w:jc w:val="center"/>
        <w:rPr>
          <w:rFonts w:ascii="Times New Roman" w:hAnsi="Times New Roman" w:cs="Times New Roman"/>
          <w:sz w:val="20"/>
          <w:szCs w:val="20"/>
          <w:lang w:val="en-GB"/>
        </w:rPr>
      </w:pPr>
    </w:p>
    <w:p w14:paraId="48DE4C5B" w14:textId="6F3D117A" w:rsidR="00455BDA" w:rsidRPr="00414C25" w:rsidRDefault="00346EDD">
      <w:pPr>
        <w:jc w:val="center"/>
        <w:rPr>
          <w:rFonts w:ascii="Times New Roman" w:hAnsi="Times New Roman" w:cs="Times New Roman"/>
          <w:b/>
          <w:bCs/>
          <w:lang w:val="en-GB"/>
        </w:rPr>
      </w:pPr>
      <w:r w:rsidRPr="00346EDD">
        <w:rPr>
          <w:rFonts w:ascii="Times New Roman" w:hAnsi="Times New Roman" w:cs="Times New Roman"/>
          <w:b/>
          <w:bCs/>
          <w:u w:val="single"/>
          <w:lang w:val="en-GB"/>
        </w:rPr>
        <w:t>Dinis O. Abranches</w:t>
      </w:r>
      <w:r w:rsidR="00455BDA" w:rsidRPr="00414C25">
        <w:rPr>
          <w:rFonts w:ascii="Times New Roman" w:hAnsi="Times New Roman" w:cs="Times New Roman"/>
          <w:b/>
          <w:bCs/>
          <w:vertAlign w:val="superscript"/>
          <w:lang w:val="en-GB"/>
        </w:rPr>
        <w:t>1</w:t>
      </w:r>
      <w:r w:rsidR="00455BDA" w:rsidRPr="00414C25">
        <w:rPr>
          <w:rFonts w:ascii="Times New Roman" w:hAnsi="Times New Roman" w:cs="Times New Roman"/>
          <w:b/>
          <w:bCs/>
          <w:lang w:val="en-GB"/>
        </w:rPr>
        <w:t xml:space="preserve">, </w:t>
      </w:r>
      <w:r>
        <w:rPr>
          <w:rFonts w:ascii="Times New Roman" w:hAnsi="Times New Roman" w:cs="Times New Roman"/>
          <w:b/>
          <w:bCs/>
          <w:lang w:val="en-GB"/>
        </w:rPr>
        <w:t>Gabriel L. Camilo</w:t>
      </w:r>
      <w:r w:rsidR="00BE29A4">
        <w:rPr>
          <w:rFonts w:ascii="Times New Roman" w:hAnsi="Times New Roman" w:cs="Times New Roman"/>
          <w:b/>
          <w:bCs/>
          <w:vertAlign w:val="superscript"/>
          <w:lang w:val="en-GB"/>
        </w:rPr>
        <w:t>1</w:t>
      </w:r>
      <w:r w:rsidR="00455BDA" w:rsidRPr="00414C25">
        <w:rPr>
          <w:rFonts w:ascii="Times New Roman" w:hAnsi="Times New Roman" w:cs="Times New Roman"/>
          <w:b/>
          <w:bCs/>
          <w:lang w:val="en-GB"/>
        </w:rPr>
        <w:t>,</w:t>
      </w:r>
      <w:r w:rsidR="008D71D2" w:rsidRPr="008D71D2">
        <w:rPr>
          <w:rFonts w:ascii="Times New Roman" w:hAnsi="Times New Roman" w:cs="Times New Roman"/>
          <w:b/>
          <w:bCs/>
          <w:lang w:val="en-GB"/>
        </w:rPr>
        <w:t xml:space="preserve"> </w:t>
      </w:r>
      <w:r w:rsidRPr="00346EDD">
        <w:rPr>
          <w:rFonts w:ascii="Times New Roman" w:hAnsi="Times New Roman" w:cs="Times New Roman"/>
          <w:b/>
          <w:bCs/>
          <w:lang w:val="en-GB"/>
        </w:rPr>
        <w:t>Eudes E. Fileti</w:t>
      </w:r>
      <w:r w:rsidR="007031C4">
        <w:rPr>
          <w:rFonts w:ascii="Times New Roman" w:hAnsi="Times New Roman" w:cs="Times New Roman"/>
          <w:b/>
          <w:bCs/>
          <w:vertAlign w:val="superscript"/>
          <w:lang w:val="en-GB"/>
        </w:rPr>
        <w:t>1</w:t>
      </w:r>
      <w:r>
        <w:rPr>
          <w:rFonts w:ascii="Times New Roman" w:hAnsi="Times New Roman" w:cs="Times New Roman"/>
          <w:b/>
          <w:bCs/>
          <w:vertAlign w:val="superscript"/>
          <w:lang w:val="en-GB"/>
        </w:rPr>
        <w:t>,2</w:t>
      </w:r>
      <w:r w:rsidR="008D71D2">
        <w:rPr>
          <w:rFonts w:ascii="Times New Roman" w:hAnsi="Times New Roman" w:cs="Times New Roman"/>
          <w:b/>
          <w:bCs/>
          <w:lang w:val="en-GB"/>
        </w:rPr>
        <w:t>,</w:t>
      </w:r>
      <w:r w:rsidR="00455BDA" w:rsidRPr="00414C25">
        <w:rPr>
          <w:rFonts w:ascii="Times New Roman" w:hAnsi="Times New Roman" w:cs="Times New Roman"/>
          <w:b/>
          <w:bCs/>
          <w:lang w:val="en-GB"/>
        </w:rPr>
        <w:t xml:space="preserve"> </w:t>
      </w:r>
      <w:r w:rsidR="00BE29A4" w:rsidRPr="00BE29A4">
        <w:rPr>
          <w:rFonts w:ascii="Times New Roman" w:hAnsi="Times New Roman" w:cs="Times New Roman"/>
          <w:b/>
          <w:bCs/>
          <w:lang w:val="en-GB"/>
        </w:rPr>
        <w:t>João A. P. Coutinho</w:t>
      </w:r>
      <w:r w:rsidR="00BE29A4" w:rsidRPr="00BE29A4">
        <w:rPr>
          <w:rFonts w:ascii="Times New Roman" w:hAnsi="Times New Roman" w:cs="Times New Roman"/>
          <w:b/>
          <w:bCs/>
          <w:vertAlign w:val="superscript"/>
          <w:lang w:val="en-GB"/>
        </w:rPr>
        <w:t>1</w:t>
      </w:r>
    </w:p>
    <w:p w14:paraId="132412C2" w14:textId="39D8EE45" w:rsidR="005B2556" w:rsidRPr="007C5B23" w:rsidRDefault="005B2556" w:rsidP="005B2556">
      <w:pPr>
        <w:jc w:val="center"/>
        <w:rPr>
          <w:rFonts w:ascii="Times New Roman" w:hAnsi="Times New Roman" w:cs="Times New Roman"/>
          <w:sz w:val="22"/>
          <w:szCs w:val="22"/>
          <w:u w:val="single"/>
          <w:lang w:val="en-GB"/>
        </w:rPr>
      </w:pPr>
    </w:p>
    <w:p w14:paraId="69F04BD4" w14:textId="020E443A" w:rsidR="00455BDA" w:rsidRDefault="00455BDA">
      <w:pPr>
        <w:jc w:val="center"/>
        <w:rPr>
          <w:rFonts w:ascii="Times New Roman" w:hAnsi="Times New Roman" w:cs="Times New Roman"/>
          <w:sz w:val="22"/>
          <w:szCs w:val="22"/>
          <w:lang w:val="en-GB"/>
        </w:rPr>
      </w:pPr>
      <w:r w:rsidRPr="00414C25">
        <w:rPr>
          <w:rFonts w:ascii="Times New Roman" w:hAnsi="Times New Roman" w:cs="Times New Roman"/>
          <w:sz w:val="22"/>
          <w:szCs w:val="22"/>
          <w:vertAlign w:val="superscript"/>
          <w:lang w:val="en-GB"/>
        </w:rPr>
        <w:t>1</w:t>
      </w:r>
      <w:r w:rsidR="00C52F53" w:rsidRPr="00C52F53">
        <w:rPr>
          <w:rFonts w:ascii="Times New Roman" w:hAnsi="Times New Roman" w:cs="Times New Roman"/>
          <w:sz w:val="22"/>
          <w:szCs w:val="22"/>
          <w:lang w:val="en-GB"/>
        </w:rPr>
        <w:t>CICECO—Aveiro Institute of Materials, Department of Chemistry, University of Aveiro, 3810-193</w:t>
      </w:r>
      <w:r w:rsidR="00C52F53">
        <w:rPr>
          <w:rFonts w:ascii="Times New Roman" w:hAnsi="Times New Roman" w:cs="Times New Roman"/>
          <w:sz w:val="22"/>
          <w:szCs w:val="22"/>
          <w:lang w:val="en-GB"/>
        </w:rPr>
        <w:t xml:space="preserve"> </w:t>
      </w:r>
      <w:r w:rsidR="00C52F53" w:rsidRPr="00C52F53">
        <w:rPr>
          <w:rFonts w:ascii="Times New Roman" w:hAnsi="Times New Roman" w:cs="Times New Roman"/>
          <w:sz w:val="22"/>
          <w:szCs w:val="22"/>
          <w:lang w:val="en-GB"/>
        </w:rPr>
        <w:t>Aveiro, Portugal</w:t>
      </w:r>
    </w:p>
    <w:p w14:paraId="3465B62C" w14:textId="40BF9D2D" w:rsidR="00346EDD" w:rsidRPr="00414C25" w:rsidRDefault="00346EDD">
      <w:pPr>
        <w:jc w:val="center"/>
        <w:rPr>
          <w:rFonts w:ascii="Times New Roman" w:hAnsi="Times New Roman" w:cs="Times New Roman"/>
          <w:sz w:val="22"/>
          <w:szCs w:val="22"/>
          <w:lang w:val="en-GB"/>
        </w:rPr>
      </w:pPr>
      <w:r w:rsidRPr="00346EDD">
        <w:rPr>
          <w:rFonts w:ascii="Times New Roman" w:hAnsi="Times New Roman" w:cs="Times New Roman"/>
          <w:sz w:val="22"/>
          <w:szCs w:val="22"/>
          <w:vertAlign w:val="superscript"/>
          <w:lang w:val="en-GB"/>
        </w:rPr>
        <w:t>2</w:t>
      </w:r>
      <w:r w:rsidRPr="00346EDD">
        <w:rPr>
          <w:rFonts w:ascii="Times New Roman" w:hAnsi="Times New Roman" w:cs="Times New Roman"/>
          <w:sz w:val="22"/>
          <w:szCs w:val="22"/>
          <w:lang w:val="en-GB"/>
        </w:rPr>
        <w:t>Institute of Science and Technology, Federal University of São Paulo, São José dos Campos, São Paulo, Brazil</w:t>
      </w:r>
    </w:p>
    <w:p w14:paraId="2875B778" w14:textId="341F8661" w:rsidR="0085659C" w:rsidRDefault="0085659C">
      <w:pPr>
        <w:jc w:val="center"/>
        <w:rPr>
          <w:rFonts w:ascii="Times New Roman" w:hAnsi="Times New Roman" w:cs="Times New Roman"/>
          <w:sz w:val="22"/>
          <w:szCs w:val="22"/>
          <w:lang w:val="en-GB"/>
        </w:rPr>
      </w:pPr>
      <w:r w:rsidRPr="00414C25">
        <w:rPr>
          <w:rFonts w:ascii="Times New Roman" w:hAnsi="Times New Roman" w:cs="Times New Roman"/>
          <w:sz w:val="22"/>
          <w:szCs w:val="22"/>
          <w:lang w:val="en-GB"/>
        </w:rPr>
        <w:t xml:space="preserve">e-mail: </w:t>
      </w:r>
      <w:r w:rsidR="00EF09BA">
        <w:rPr>
          <w:rFonts w:ascii="Times New Roman" w:hAnsi="Times New Roman" w:cs="Times New Roman"/>
          <w:sz w:val="22"/>
          <w:szCs w:val="22"/>
          <w:lang w:val="en-GB"/>
        </w:rPr>
        <w:t>jdinis@ua.pt</w:t>
      </w:r>
    </w:p>
    <w:p w14:paraId="470C3037" w14:textId="77777777" w:rsidR="00455BDA" w:rsidRDefault="00455BDA">
      <w:pPr>
        <w:rPr>
          <w:rFonts w:ascii="Times New Roman" w:hAnsi="Times New Roman" w:cs="Times New Roman"/>
          <w:lang w:val="en-GB"/>
        </w:rPr>
      </w:pPr>
    </w:p>
    <w:p w14:paraId="0F368D04" w14:textId="1D4D97DE" w:rsidR="003D39EE" w:rsidRDefault="003D39EE" w:rsidP="003D39EE">
      <w:pPr>
        <w:rPr>
          <w:rFonts w:ascii="Times New Roman" w:hAnsi="Times New Roman" w:cs="Times New Roman"/>
        </w:rPr>
      </w:pPr>
      <w:r w:rsidRPr="003D39EE">
        <w:rPr>
          <w:rFonts w:ascii="Times New Roman" w:hAnsi="Times New Roman" w:cs="Times New Roman"/>
        </w:rPr>
        <w:t>Deep eutectic solvents (DESs) represent a paradigm in green chemistry, where liquid solvents are prepared by mixing two solid precursors without any chemical reaction</w:t>
      </w:r>
      <w:r>
        <w:rPr>
          <w:rFonts w:ascii="Times New Roman" w:hAnsi="Times New Roman" w:cs="Times New Roman"/>
        </w:rPr>
        <w:t xml:space="preserve"> [1]</w:t>
      </w:r>
      <w:r w:rsidRPr="003D39EE">
        <w:rPr>
          <w:rFonts w:ascii="Times New Roman" w:hAnsi="Times New Roman" w:cs="Times New Roman"/>
        </w:rPr>
        <w:t>. The resulting liquid arises from eutectic-type solid-liquid equilibrium. Recently, this DES framework was extended to the so-called deep eutectic electrolytes (DEEs), which incorporate an electrolyte component as one of the precursors</w:t>
      </w:r>
      <w:r>
        <w:rPr>
          <w:rFonts w:ascii="Times New Roman" w:hAnsi="Times New Roman" w:cs="Times New Roman"/>
        </w:rPr>
        <w:t xml:space="preserve"> [2]</w:t>
      </w:r>
      <w:r w:rsidRPr="003D39EE">
        <w:rPr>
          <w:rFonts w:ascii="Times New Roman" w:hAnsi="Times New Roman" w:cs="Times New Roman"/>
        </w:rPr>
        <w:t>. Instead of dissolving a conventional solid electrolyte in an organic solvent, a solid salt (e.g., LiTFSI) is mixed with a compatible precursor to form a eutectic at room temperature. These DEEs combine the low cost, non-volatility, and environmental benignity of DESs with the high ionic mobility and electrochemical stability required for energy-related applications.</w:t>
      </w:r>
    </w:p>
    <w:p w14:paraId="75652DB7" w14:textId="77777777" w:rsidR="003D39EE" w:rsidRPr="003D39EE" w:rsidRDefault="003D39EE" w:rsidP="003D39EE">
      <w:pPr>
        <w:rPr>
          <w:rFonts w:ascii="Times New Roman" w:hAnsi="Times New Roman" w:cs="Times New Roman"/>
        </w:rPr>
      </w:pPr>
    </w:p>
    <w:p w14:paraId="3ACC9D15" w14:textId="77777777" w:rsidR="003D39EE" w:rsidRPr="003D39EE" w:rsidRDefault="003D39EE" w:rsidP="003D39EE">
      <w:pPr>
        <w:rPr>
          <w:rFonts w:ascii="Times New Roman" w:hAnsi="Times New Roman" w:cs="Times New Roman"/>
        </w:rPr>
      </w:pPr>
      <w:r w:rsidRPr="003D39EE">
        <w:rPr>
          <w:rFonts w:ascii="Times New Roman" w:hAnsi="Times New Roman" w:cs="Times New Roman"/>
        </w:rPr>
        <w:t>In this work, a combination of computational approaches, namely molecular dynamics and the thermodynamic model COSMO-RS, was employed to investigate the formation of DEEs. The main intermolecular interactions between DEE precursors were studied, enabling the formulation of heuristic rules to readily identify precursor pairs capable of forming liquid DEEs. Moreover, this work demonstrates how negative deviations from ideality can be reliably predicted and achieved, thereby facilitating DEE formation with severe melting point depressions. Finally, based on the developed predictive framework, several new DEEs with high interest for energy-related applications were proposed and experimentally validated.</w:t>
      </w:r>
    </w:p>
    <w:p w14:paraId="00772BFD" w14:textId="77777777" w:rsidR="00EF09BA" w:rsidRDefault="00EF09BA" w:rsidP="00EF09BA">
      <w:pPr>
        <w:rPr>
          <w:rFonts w:ascii="Times New Roman" w:hAnsi="Times New Roman" w:cs="Times New Roman"/>
        </w:rPr>
      </w:pPr>
    </w:p>
    <w:p w14:paraId="1B150B0B" w14:textId="7E3ACB0B" w:rsidR="00EF09BA" w:rsidRDefault="00EF09BA" w:rsidP="00EF09BA">
      <w:pPr>
        <w:jc w:val="left"/>
        <w:rPr>
          <w:rFonts w:ascii="Times New Roman" w:hAnsi="Times New Roman" w:cs="Times New Roman"/>
          <w:b/>
          <w:bCs/>
          <w:lang w:val="en-GB"/>
        </w:rPr>
      </w:pPr>
      <w:r>
        <w:rPr>
          <w:rFonts w:ascii="Times New Roman" w:hAnsi="Times New Roman" w:cs="Times New Roman"/>
          <w:b/>
          <w:bCs/>
          <w:lang w:val="en-GB"/>
        </w:rPr>
        <w:t>Acknowledgments</w:t>
      </w:r>
    </w:p>
    <w:p w14:paraId="16BC9423" w14:textId="4597CCA7" w:rsidR="00EF09BA" w:rsidRPr="00EF09BA" w:rsidRDefault="00EF09BA" w:rsidP="009579E7">
      <w:pPr>
        <w:rPr>
          <w:rFonts w:ascii="Times New Roman" w:hAnsi="Times New Roman" w:cs="Times New Roman"/>
          <w:lang w:val="en-GB"/>
        </w:rPr>
      </w:pPr>
      <w:r w:rsidRPr="00EF09BA">
        <w:rPr>
          <w:rFonts w:ascii="Times New Roman" w:hAnsi="Times New Roman" w:cs="Times New Roman"/>
        </w:rPr>
        <w:t>This work was developed within the scope of the project CICECO-Aveiro Institute of Materials, UID/50011/2025 (DOI 10.54499/UID/50011/2025) &amp; LA/P/0006/2020 (DOI 10.54499/LA/P/0006/2020), financed by national funds through the FCT/MCTES (PIDDAC).</w:t>
      </w:r>
    </w:p>
    <w:p w14:paraId="74E9C363" w14:textId="77777777" w:rsidR="002D2CBB" w:rsidRPr="00414C25" w:rsidRDefault="002D2CBB" w:rsidP="00EF09BA">
      <w:pPr>
        <w:pStyle w:val="BodyText2"/>
        <w:ind w:firstLine="0"/>
        <w:jc w:val="left"/>
        <w:rPr>
          <w:rFonts w:ascii="Times New Roman" w:hAnsi="Times New Roman" w:cs="Times New Roman"/>
          <w:sz w:val="24"/>
          <w:szCs w:val="24"/>
          <w:lang w:val="en-GB"/>
        </w:rPr>
      </w:pPr>
    </w:p>
    <w:p w14:paraId="46F99B2F" w14:textId="77777777" w:rsidR="00455BDA" w:rsidRPr="006A41DD" w:rsidRDefault="00455BDA" w:rsidP="00AF4C78">
      <w:pPr>
        <w:jc w:val="left"/>
        <w:rPr>
          <w:rFonts w:ascii="Times New Roman" w:hAnsi="Times New Roman" w:cs="Times New Roman"/>
          <w:lang w:val="en-GB"/>
        </w:rPr>
      </w:pPr>
      <w:r w:rsidRPr="006A41DD">
        <w:rPr>
          <w:rFonts w:ascii="Times New Roman" w:hAnsi="Times New Roman" w:cs="Times New Roman"/>
          <w:b/>
          <w:bCs/>
          <w:lang w:val="en-GB"/>
        </w:rPr>
        <w:t>References</w:t>
      </w:r>
    </w:p>
    <w:p w14:paraId="70C33B67" w14:textId="6BC2821B" w:rsidR="00AD0CB5" w:rsidRPr="006A41DD" w:rsidRDefault="00AD0CB5" w:rsidP="00AF4C78">
      <w:pPr>
        <w:ind w:left="426" w:right="-2" w:hanging="426"/>
        <w:jc w:val="left"/>
        <w:rPr>
          <w:rFonts w:ascii="Times New Roman" w:hAnsi="Times New Roman" w:cs="Times New Roman"/>
          <w:lang w:val="en-GB"/>
        </w:rPr>
      </w:pPr>
      <w:r w:rsidRPr="006A41DD">
        <w:rPr>
          <w:rFonts w:ascii="Times New Roman" w:hAnsi="Times New Roman" w:cs="Times New Roman"/>
          <w:lang w:val="en-GB"/>
        </w:rPr>
        <w:t>[1]</w:t>
      </w:r>
      <w:r w:rsidRPr="006A41DD">
        <w:rPr>
          <w:rFonts w:ascii="Times New Roman" w:hAnsi="Times New Roman" w:cs="Times New Roman"/>
          <w:lang w:val="en-GB"/>
        </w:rPr>
        <w:tab/>
      </w:r>
      <w:r w:rsidR="007C3814">
        <w:rPr>
          <w:rFonts w:ascii="Times New Roman" w:hAnsi="Times New Roman" w:cs="Times New Roman"/>
          <w:lang w:val="en-GB"/>
        </w:rPr>
        <w:t xml:space="preserve">D. O. </w:t>
      </w:r>
      <w:r w:rsidR="007C3814" w:rsidRPr="007C3814">
        <w:rPr>
          <w:rFonts w:ascii="Times New Roman" w:hAnsi="Times New Roman" w:cs="Times New Roman"/>
          <w:lang w:val="en-GB"/>
        </w:rPr>
        <w:t>Abranches</w:t>
      </w:r>
      <w:r w:rsidR="007C3814">
        <w:rPr>
          <w:rFonts w:ascii="Times New Roman" w:hAnsi="Times New Roman" w:cs="Times New Roman"/>
          <w:lang w:val="en-GB"/>
        </w:rPr>
        <w:t xml:space="preserve"> </w:t>
      </w:r>
      <w:r w:rsidR="007C3814" w:rsidRPr="007C3814">
        <w:rPr>
          <w:rFonts w:ascii="Times New Roman" w:hAnsi="Times New Roman" w:cs="Times New Roman"/>
          <w:lang w:val="en-GB"/>
        </w:rPr>
        <w:t xml:space="preserve">and </w:t>
      </w:r>
      <w:r w:rsidR="007C3814">
        <w:rPr>
          <w:rFonts w:ascii="Times New Roman" w:hAnsi="Times New Roman" w:cs="Times New Roman"/>
          <w:lang w:val="en-GB"/>
        </w:rPr>
        <w:t>J. A. P.</w:t>
      </w:r>
      <w:r w:rsidR="007C3814" w:rsidRPr="007C3814">
        <w:rPr>
          <w:rFonts w:ascii="Times New Roman" w:hAnsi="Times New Roman" w:cs="Times New Roman"/>
          <w:lang w:val="en-GB"/>
        </w:rPr>
        <w:t xml:space="preserve"> Coutinho. Annual Review of Chemical and Biomolecular Engineering </w:t>
      </w:r>
      <w:r w:rsidR="007C3814" w:rsidRPr="007C3814">
        <w:rPr>
          <w:rFonts w:ascii="Times New Roman" w:hAnsi="Times New Roman" w:cs="Times New Roman"/>
          <w:b/>
          <w:bCs/>
          <w:lang w:val="en-GB"/>
        </w:rPr>
        <w:t>14</w:t>
      </w:r>
      <w:r w:rsidR="007C3814" w:rsidRPr="007C3814">
        <w:rPr>
          <w:rFonts w:ascii="Times New Roman" w:hAnsi="Times New Roman" w:cs="Times New Roman"/>
          <w:lang w:val="en-GB"/>
        </w:rPr>
        <w:t xml:space="preserve"> (2023): 141-163.</w:t>
      </w:r>
    </w:p>
    <w:p w14:paraId="163F2331" w14:textId="6F8BAC8A" w:rsidR="009B7FE3" w:rsidRPr="006A41DD" w:rsidRDefault="00AD0CB5" w:rsidP="00AF4C78">
      <w:pPr>
        <w:ind w:left="426" w:right="-2" w:hanging="426"/>
        <w:jc w:val="left"/>
        <w:rPr>
          <w:rFonts w:ascii="Times New Roman" w:hAnsi="Times New Roman" w:cs="Times New Roman"/>
          <w:color w:val="auto"/>
          <w:lang w:val="en-GB"/>
        </w:rPr>
      </w:pPr>
      <w:r w:rsidRPr="006A41DD">
        <w:rPr>
          <w:rFonts w:ascii="Times New Roman" w:hAnsi="Times New Roman" w:cs="Times New Roman"/>
          <w:lang w:val="en-GB"/>
        </w:rPr>
        <w:t>[2]</w:t>
      </w:r>
      <w:r w:rsidRPr="006A41DD">
        <w:rPr>
          <w:rFonts w:ascii="Times New Roman" w:hAnsi="Times New Roman" w:cs="Times New Roman"/>
          <w:lang w:val="en-GB"/>
        </w:rPr>
        <w:tab/>
      </w:r>
      <w:r w:rsidR="00EF33CF" w:rsidRPr="00EF33CF">
        <w:rPr>
          <w:rFonts w:ascii="Times New Roman" w:hAnsi="Times New Roman" w:cs="Times New Roman"/>
          <w:lang w:val="en-GB"/>
        </w:rPr>
        <w:t>Rui-Lan</w:t>
      </w:r>
      <w:r w:rsidR="00EF33CF" w:rsidRPr="00EF33CF">
        <w:rPr>
          <w:rFonts w:ascii="Times New Roman" w:hAnsi="Times New Roman" w:cs="Times New Roman"/>
          <w:lang w:val="en-GB"/>
        </w:rPr>
        <w:t xml:space="preserve"> </w:t>
      </w:r>
      <w:r w:rsidR="00EF33CF" w:rsidRPr="00EF33CF">
        <w:rPr>
          <w:rFonts w:ascii="Times New Roman" w:hAnsi="Times New Roman" w:cs="Times New Roman"/>
          <w:lang w:val="en-GB"/>
        </w:rPr>
        <w:t xml:space="preserve">Liu, </w:t>
      </w:r>
      <w:r w:rsidR="00EF33CF">
        <w:rPr>
          <w:rFonts w:ascii="Times New Roman" w:hAnsi="Times New Roman" w:cs="Times New Roman"/>
          <w:lang w:val="en-GB"/>
        </w:rPr>
        <w:t>W.</w:t>
      </w:r>
      <w:r w:rsidR="00EF33CF" w:rsidRPr="00EF33CF">
        <w:rPr>
          <w:rFonts w:ascii="Times New Roman" w:hAnsi="Times New Roman" w:cs="Times New Roman"/>
          <w:lang w:val="en-GB"/>
        </w:rPr>
        <w:t xml:space="preserve"> Yang, </w:t>
      </w:r>
      <w:r w:rsidR="00EF33CF">
        <w:rPr>
          <w:rFonts w:ascii="Times New Roman" w:hAnsi="Times New Roman" w:cs="Times New Roman"/>
          <w:lang w:val="en-GB"/>
        </w:rPr>
        <w:t>Q.</w:t>
      </w:r>
      <w:r w:rsidR="00EF33CF" w:rsidRPr="00EF33CF">
        <w:rPr>
          <w:rFonts w:ascii="Times New Roman" w:hAnsi="Times New Roman" w:cs="Times New Roman"/>
          <w:lang w:val="en-GB"/>
        </w:rPr>
        <w:t xml:space="preserve"> Wang, </w:t>
      </w:r>
      <w:r w:rsidR="00EF33CF">
        <w:rPr>
          <w:rFonts w:ascii="Times New Roman" w:hAnsi="Times New Roman" w:cs="Times New Roman"/>
          <w:lang w:val="en-GB"/>
        </w:rPr>
        <w:t>X.</w:t>
      </w:r>
      <w:r w:rsidR="00EF33CF" w:rsidRPr="00EF33CF">
        <w:rPr>
          <w:rFonts w:ascii="Times New Roman" w:hAnsi="Times New Roman" w:cs="Times New Roman"/>
          <w:lang w:val="en-GB"/>
        </w:rPr>
        <w:t xml:space="preserve"> Du, </w:t>
      </w:r>
      <w:r w:rsidR="00EF33CF">
        <w:rPr>
          <w:rFonts w:ascii="Times New Roman" w:hAnsi="Times New Roman" w:cs="Times New Roman"/>
          <w:lang w:val="en-GB"/>
        </w:rPr>
        <w:t>B.</w:t>
      </w:r>
      <w:r w:rsidR="00EF33CF" w:rsidRPr="00EF33CF">
        <w:rPr>
          <w:rFonts w:ascii="Times New Roman" w:hAnsi="Times New Roman" w:cs="Times New Roman"/>
          <w:lang w:val="en-GB"/>
        </w:rPr>
        <w:t xml:space="preserve"> Hu, </w:t>
      </w:r>
      <w:r w:rsidR="00EF33CF">
        <w:rPr>
          <w:rFonts w:ascii="Times New Roman" w:hAnsi="Times New Roman" w:cs="Times New Roman"/>
          <w:lang w:val="en-GB"/>
        </w:rPr>
        <w:t>Y.</w:t>
      </w:r>
      <w:r w:rsidR="00EF33CF" w:rsidRPr="00EF33CF">
        <w:rPr>
          <w:rFonts w:ascii="Times New Roman" w:hAnsi="Times New Roman" w:cs="Times New Roman"/>
          <w:lang w:val="en-GB"/>
        </w:rPr>
        <w:t xml:space="preserve"> Chen, and Dan-Yang Wang. Ceramics International 50, no. 5 (2024): 8178-8184.</w:t>
      </w:r>
    </w:p>
    <w:sectPr w:rsidR="009B7FE3" w:rsidRPr="006A41DD" w:rsidSect="000E068C">
      <w:headerReference w:type="first" r:id="rId7"/>
      <w:type w:val="continuous"/>
      <w:pgSz w:w="11907" w:h="16840" w:code="9"/>
      <w:pgMar w:top="1134" w:right="1134" w:bottom="1134" w:left="1134" w:header="454" w:footer="454" w:gutter="113"/>
      <w:cols w:space="283"/>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15F26" w14:textId="77777777" w:rsidR="00292FB3" w:rsidRDefault="00292FB3">
      <w:pPr>
        <w:rPr>
          <w:rFonts w:cs="Times New Roman"/>
        </w:rPr>
      </w:pPr>
      <w:r>
        <w:rPr>
          <w:rFonts w:cs="Times New Roman"/>
        </w:rPr>
        <w:separator/>
      </w:r>
    </w:p>
  </w:endnote>
  <w:endnote w:type="continuationSeparator" w:id="0">
    <w:p w14:paraId="257F7F4E" w14:textId="77777777" w:rsidR="00292FB3" w:rsidRDefault="00292FB3">
      <w:pPr>
        <w:rPr>
          <w:rFonts w:cs="Times New Roman"/>
        </w:rPr>
      </w:pPr>
      <w:r>
        <w:rPr>
          <w:rFonts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Palatino">
    <w:altName w:val="Book Antiqua"/>
    <w:panose1 w:val="00000000000000000000"/>
    <w:charset w:val="00"/>
    <w:family w:val="roman"/>
    <w:notTrueType/>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39A4B5" w14:textId="77777777" w:rsidR="00292FB3" w:rsidRDefault="00292FB3">
      <w:pPr>
        <w:rPr>
          <w:rFonts w:cs="Times New Roman"/>
        </w:rPr>
      </w:pPr>
      <w:r>
        <w:rPr>
          <w:rFonts w:cs="Times New Roman"/>
        </w:rPr>
        <w:separator/>
      </w:r>
    </w:p>
  </w:footnote>
  <w:footnote w:type="continuationSeparator" w:id="0">
    <w:p w14:paraId="530BFC5D" w14:textId="77777777" w:rsidR="00292FB3" w:rsidRDefault="00292FB3">
      <w:pPr>
        <w:rPr>
          <w:rFonts w:cs="Times New Roman"/>
        </w:rPr>
      </w:pPr>
      <w:r>
        <w:rPr>
          <w:rFonts w:cs="Times New Roman"/>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DF086" w14:textId="77777777" w:rsidR="005C305C" w:rsidRPr="005C305C" w:rsidRDefault="009D76BD" w:rsidP="005C305C">
    <w:pPr>
      <w:pStyle w:val="Header"/>
      <w:jc w:val="center"/>
      <w:rPr>
        <w:rFonts w:asciiTheme="minorHAnsi" w:hAnsiTheme="minorHAnsi" w:cs="Times New Roman"/>
        <w:b/>
        <w:color w:val="7F7F7F" w:themeColor="text1" w:themeTint="80"/>
        <w:sz w:val="20"/>
        <w:szCs w:val="22"/>
      </w:rPr>
    </w:pPr>
    <w:r>
      <w:rPr>
        <w:rFonts w:asciiTheme="minorHAnsi" w:hAnsiTheme="minorHAnsi" w:cs="Times New Roman"/>
        <w:b/>
        <w:color w:val="7F7F7F" w:themeColor="text1" w:themeTint="80"/>
        <w:sz w:val="20"/>
        <w:szCs w:val="22"/>
      </w:rPr>
      <w:t>European Molecular Liquids Group and Japanese Molecular Liquids Group Annual Meeting (EMLG/JMLG 2026</w:t>
    </w:r>
    <w:r w:rsidR="005C305C" w:rsidRPr="005C305C">
      <w:rPr>
        <w:rFonts w:asciiTheme="minorHAnsi" w:hAnsiTheme="minorHAnsi" w:cs="Times New Roman"/>
        <w:b/>
        <w:color w:val="7F7F7F" w:themeColor="text1" w:themeTint="80"/>
        <w:sz w:val="20"/>
        <w:szCs w:val="22"/>
      </w:rPr>
      <w:t>)</w:t>
    </w:r>
  </w:p>
  <w:p w14:paraId="06813F91" w14:textId="77777777" w:rsidR="00121503" w:rsidRPr="005C305C" w:rsidRDefault="009D76BD" w:rsidP="005C305C">
    <w:pPr>
      <w:pStyle w:val="Header"/>
      <w:tabs>
        <w:tab w:val="clear" w:pos="4320"/>
      </w:tabs>
      <w:jc w:val="center"/>
      <w:rPr>
        <w:rFonts w:asciiTheme="minorHAnsi" w:hAnsiTheme="minorHAnsi" w:cs="Times New Roman"/>
        <w:b/>
        <w:color w:val="7F7F7F" w:themeColor="text1" w:themeTint="80"/>
        <w:sz w:val="20"/>
        <w:szCs w:val="22"/>
      </w:rPr>
    </w:pPr>
    <w:r>
      <w:rPr>
        <w:rFonts w:asciiTheme="minorHAnsi" w:hAnsiTheme="minorHAnsi" w:cs="Times New Roman"/>
        <w:b/>
        <w:color w:val="7F7F7F" w:themeColor="text1" w:themeTint="80"/>
        <w:sz w:val="20"/>
        <w:szCs w:val="22"/>
      </w:rPr>
      <w:t>Glasgow</w:t>
    </w:r>
    <w:r w:rsidR="00414C25">
      <w:rPr>
        <w:rFonts w:asciiTheme="minorHAnsi" w:hAnsiTheme="minorHAnsi" w:cs="Times New Roman"/>
        <w:b/>
        <w:color w:val="7F7F7F" w:themeColor="text1" w:themeTint="80"/>
        <w:sz w:val="20"/>
        <w:szCs w:val="22"/>
      </w:rPr>
      <w:t xml:space="preserve"> </w:t>
    </w:r>
    <w:r w:rsidR="005C305C" w:rsidRPr="005C305C">
      <w:rPr>
        <w:rFonts w:asciiTheme="minorHAnsi" w:hAnsiTheme="minorHAnsi" w:cs="Times New Roman"/>
        <w:b/>
        <w:color w:val="7F7F7F" w:themeColor="text1" w:themeTint="80"/>
        <w:sz w:val="20"/>
        <w:szCs w:val="22"/>
      </w:rPr>
      <w:t>(</w:t>
    </w:r>
    <w:r w:rsidR="00414C25">
      <w:rPr>
        <w:rFonts w:asciiTheme="minorHAnsi" w:hAnsiTheme="minorHAnsi" w:cs="Times New Roman"/>
        <w:b/>
        <w:color w:val="7F7F7F" w:themeColor="text1" w:themeTint="80"/>
        <w:sz w:val="20"/>
        <w:szCs w:val="22"/>
      </w:rPr>
      <w:t>UK</w:t>
    </w:r>
    <w:r w:rsidR="005C305C" w:rsidRPr="005C305C">
      <w:rPr>
        <w:rFonts w:asciiTheme="minorHAnsi" w:hAnsiTheme="minorHAnsi" w:cs="Times New Roman"/>
        <w:b/>
        <w:color w:val="7F7F7F" w:themeColor="text1" w:themeTint="80"/>
        <w:sz w:val="20"/>
        <w:szCs w:val="22"/>
      </w:rPr>
      <w:t xml:space="preserve">), </w:t>
    </w:r>
    <w:r>
      <w:rPr>
        <w:rFonts w:asciiTheme="minorHAnsi" w:hAnsiTheme="minorHAnsi" w:cs="Times New Roman"/>
        <w:b/>
        <w:color w:val="7F7F7F" w:themeColor="text1" w:themeTint="80"/>
        <w:sz w:val="20"/>
        <w:szCs w:val="22"/>
      </w:rPr>
      <w:t>31</w:t>
    </w:r>
    <w:r w:rsidR="005C305C" w:rsidRPr="005C305C">
      <w:rPr>
        <w:rFonts w:asciiTheme="minorHAnsi" w:hAnsiTheme="minorHAnsi" w:cs="Times New Roman"/>
        <w:b/>
        <w:color w:val="7F7F7F" w:themeColor="text1" w:themeTint="80"/>
        <w:sz w:val="20"/>
        <w:szCs w:val="22"/>
        <w:vertAlign w:val="superscript"/>
      </w:rPr>
      <w:t>th</w:t>
    </w:r>
    <w:r w:rsidR="005C305C" w:rsidRPr="005C305C">
      <w:rPr>
        <w:rFonts w:asciiTheme="minorHAnsi" w:hAnsiTheme="minorHAnsi" w:cs="Times New Roman"/>
        <w:b/>
        <w:color w:val="7F7F7F" w:themeColor="text1" w:themeTint="80"/>
        <w:sz w:val="20"/>
        <w:szCs w:val="22"/>
      </w:rPr>
      <w:t xml:space="preserve"> </w:t>
    </w:r>
    <w:r>
      <w:rPr>
        <w:rFonts w:asciiTheme="minorHAnsi" w:hAnsiTheme="minorHAnsi" w:cs="Times New Roman"/>
        <w:b/>
        <w:color w:val="7F7F7F" w:themeColor="text1" w:themeTint="80"/>
        <w:sz w:val="20"/>
        <w:szCs w:val="22"/>
      </w:rPr>
      <w:t>August – 4</w:t>
    </w:r>
    <w:r w:rsidR="005C305C" w:rsidRPr="005C305C">
      <w:rPr>
        <w:rFonts w:asciiTheme="minorHAnsi" w:hAnsiTheme="minorHAnsi" w:cs="Times New Roman"/>
        <w:b/>
        <w:color w:val="7F7F7F" w:themeColor="text1" w:themeTint="80"/>
        <w:sz w:val="20"/>
        <w:szCs w:val="22"/>
        <w:vertAlign w:val="superscript"/>
      </w:rPr>
      <w:t>th</w:t>
    </w:r>
    <w:r w:rsidR="005C305C" w:rsidRPr="005C305C">
      <w:rPr>
        <w:rFonts w:asciiTheme="minorHAnsi" w:hAnsiTheme="minorHAnsi" w:cs="Times New Roman"/>
        <w:b/>
        <w:color w:val="7F7F7F" w:themeColor="text1" w:themeTint="80"/>
        <w:sz w:val="20"/>
        <w:szCs w:val="22"/>
      </w:rPr>
      <w:t xml:space="preserve"> </w:t>
    </w:r>
    <w:r>
      <w:rPr>
        <w:rFonts w:asciiTheme="minorHAnsi" w:hAnsiTheme="minorHAnsi" w:cs="Times New Roman"/>
        <w:b/>
        <w:color w:val="7F7F7F" w:themeColor="text1" w:themeTint="80"/>
        <w:sz w:val="20"/>
        <w:szCs w:val="22"/>
      </w:rPr>
      <w:t>September</w:t>
    </w:r>
    <w:r w:rsidR="00414C25">
      <w:rPr>
        <w:rFonts w:asciiTheme="minorHAnsi" w:hAnsiTheme="minorHAnsi" w:cs="Times New Roman"/>
        <w:b/>
        <w:color w:val="7F7F7F" w:themeColor="text1" w:themeTint="80"/>
        <w:sz w:val="20"/>
        <w:szCs w:val="22"/>
      </w:rPr>
      <w:t>, 202</w:t>
    </w:r>
    <w:r>
      <w:rPr>
        <w:rFonts w:asciiTheme="minorHAnsi" w:hAnsiTheme="minorHAnsi" w:cs="Times New Roman"/>
        <w:b/>
        <w:color w:val="7F7F7F" w:themeColor="text1" w:themeTint="80"/>
        <w:sz w:val="20"/>
        <w:szCs w:val="22"/>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0F4434"/>
    <w:multiLevelType w:val="hybridMultilevel"/>
    <w:tmpl w:val="91025D78"/>
    <w:lvl w:ilvl="0" w:tplc="04090001">
      <w:start w:val="1"/>
      <w:numFmt w:val="bullet"/>
      <w:lvlText w:val=""/>
      <w:lvlJc w:val="left"/>
      <w:pPr>
        <w:tabs>
          <w:tab w:val="num" w:pos="1004"/>
        </w:tabs>
        <w:ind w:left="1004" w:hanging="360"/>
      </w:pPr>
      <w:rPr>
        <w:rFonts w:ascii="Symbol" w:hAnsi="Symbol" w:hint="default"/>
      </w:rPr>
    </w:lvl>
    <w:lvl w:ilvl="1" w:tplc="04090003">
      <w:start w:val="1"/>
      <w:numFmt w:val="bullet"/>
      <w:lvlText w:val="o"/>
      <w:lvlJc w:val="left"/>
      <w:pPr>
        <w:tabs>
          <w:tab w:val="num" w:pos="1724"/>
        </w:tabs>
        <w:ind w:left="1724" w:hanging="360"/>
      </w:pPr>
      <w:rPr>
        <w:rFonts w:ascii="Courier New" w:hAnsi="Courier New" w:hint="default"/>
      </w:rPr>
    </w:lvl>
    <w:lvl w:ilvl="2" w:tplc="04090005">
      <w:start w:val="1"/>
      <w:numFmt w:val="bullet"/>
      <w:lvlText w:val=""/>
      <w:lvlJc w:val="left"/>
      <w:pPr>
        <w:tabs>
          <w:tab w:val="num" w:pos="2444"/>
        </w:tabs>
        <w:ind w:left="2444" w:hanging="360"/>
      </w:pPr>
      <w:rPr>
        <w:rFonts w:ascii="Wingdings" w:hAnsi="Wingdings" w:hint="default"/>
      </w:rPr>
    </w:lvl>
    <w:lvl w:ilvl="3" w:tplc="04090001">
      <w:start w:val="1"/>
      <w:numFmt w:val="bullet"/>
      <w:lvlText w:val=""/>
      <w:lvlJc w:val="left"/>
      <w:pPr>
        <w:tabs>
          <w:tab w:val="num" w:pos="3164"/>
        </w:tabs>
        <w:ind w:left="3164" w:hanging="360"/>
      </w:pPr>
      <w:rPr>
        <w:rFonts w:ascii="Symbol" w:hAnsi="Symbol" w:hint="default"/>
      </w:rPr>
    </w:lvl>
    <w:lvl w:ilvl="4" w:tplc="04090003">
      <w:start w:val="1"/>
      <w:numFmt w:val="bullet"/>
      <w:lvlText w:val="o"/>
      <w:lvlJc w:val="left"/>
      <w:pPr>
        <w:tabs>
          <w:tab w:val="num" w:pos="3884"/>
        </w:tabs>
        <w:ind w:left="3884" w:hanging="360"/>
      </w:pPr>
      <w:rPr>
        <w:rFonts w:ascii="Courier New" w:hAnsi="Courier New" w:hint="default"/>
      </w:rPr>
    </w:lvl>
    <w:lvl w:ilvl="5" w:tplc="04090005">
      <w:start w:val="1"/>
      <w:numFmt w:val="bullet"/>
      <w:lvlText w:val=""/>
      <w:lvlJc w:val="left"/>
      <w:pPr>
        <w:tabs>
          <w:tab w:val="num" w:pos="4604"/>
        </w:tabs>
        <w:ind w:left="4604" w:hanging="360"/>
      </w:pPr>
      <w:rPr>
        <w:rFonts w:ascii="Wingdings" w:hAnsi="Wingdings" w:hint="default"/>
      </w:rPr>
    </w:lvl>
    <w:lvl w:ilvl="6" w:tplc="04090001">
      <w:start w:val="1"/>
      <w:numFmt w:val="bullet"/>
      <w:lvlText w:val=""/>
      <w:lvlJc w:val="left"/>
      <w:pPr>
        <w:tabs>
          <w:tab w:val="num" w:pos="5324"/>
        </w:tabs>
        <w:ind w:left="5324" w:hanging="360"/>
      </w:pPr>
      <w:rPr>
        <w:rFonts w:ascii="Symbol" w:hAnsi="Symbol" w:hint="default"/>
      </w:rPr>
    </w:lvl>
    <w:lvl w:ilvl="7" w:tplc="04090003">
      <w:start w:val="1"/>
      <w:numFmt w:val="bullet"/>
      <w:lvlText w:val="o"/>
      <w:lvlJc w:val="left"/>
      <w:pPr>
        <w:tabs>
          <w:tab w:val="num" w:pos="6044"/>
        </w:tabs>
        <w:ind w:left="6044" w:hanging="360"/>
      </w:pPr>
      <w:rPr>
        <w:rFonts w:ascii="Courier New" w:hAnsi="Courier New" w:hint="default"/>
      </w:rPr>
    </w:lvl>
    <w:lvl w:ilvl="8" w:tplc="04090005">
      <w:start w:val="1"/>
      <w:numFmt w:val="bullet"/>
      <w:lvlText w:val=""/>
      <w:lvlJc w:val="left"/>
      <w:pPr>
        <w:tabs>
          <w:tab w:val="num" w:pos="6764"/>
        </w:tabs>
        <w:ind w:left="6764" w:hanging="360"/>
      </w:pPr>
      <w:rPr>
        <w:rFonts w:ascii="Wingdings" w:hAnsi="Wingdings" w:hint="default"/>
      </w:rPr>
    </w:lvl>
  </w:abstractNum>
  <w:num w:numId="1" w16cid:durableId="4469667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212"/>
    <w:rsid w:val="000908E8"/>
    <w:rsid w:val="000D2FA6"/>
    <w:rsid w:val="000E068C"/>
    <w:rsid w:val="000E2212"/>
    <w:rsid w:val="001074BF"/>
    <w:rsid w:val="00121503"/>
    <w:rsid w:val="00193928"/>
    <w:rsid w:val="001A7AD8"/>
    <w:rsid w:val="00201BC1"/>
    <w:rsid w:val="00231302"/>
    <w:rsid w:val="00253636"/>
    <w:rsid w:val="00263205"/>
    <w:rsid w:val="00274257"/>
    <w:rsid w:val="00292FB3"/>
    <w:rsid w:val="00297715"/>
    <w:rsid w:val="002A2BE3"/>
    <w:rsid w:val="002D2CBB"/>
    <w:rsid w:val="002E2D20"/>
    <w:rsid w:val="00346EDD"/>
    <w:rsid w:val="00347A46"/>
    <w:rsid w:val="00353EAC"/>
    <w:rsid w:val="00365F82"/>
    <w:rsid w:val="003D39EE"/>
    <w:rsid w:val="00414C25"/>
    <w:rsid w:val="00455BDA"/>
    <w:rsid w:val="00464BEB"/>
    <w:rsid w:val="004931DE"/>
    <w:rsid w:val="004B6472"/>
    <w:rsid w:val="004C64EB"/>
    <w:rsid w:val="004E30A4"/>
    <w:rsid w:val="00501487"/>
    <w:rsid w:val="00513309"/>
    <w:rsid w:val="005469D9"/>
    <w:rsid w:val="005545FA"/>
    <w:rsid w:val="00586A94"/>
    <w:rsid w:val="005A089E"/>
    <w:rsid w:val="005B2556"/>
    <w:rsid w:val="005B4E4E"/>
    <w:rsid w:val="005C305C"/>
    <w:rsid w:val="005C41E1"/>
    <w:rsid w:val="005D5E92"/>
    <w:rsid w:val="005F7FCC"/>
    <w:rsid w:val="0061348E"/>
    <w:rsid w:val="00637F27"/>
    <w:rsid w:val="00641F63"/>
    <w:rsid w:val="0066218E"/>
    <w:rsid w:val="006751C8"/>
    <w:rsid w:val="006A41DD"/>
    <w:rsid w:val="006B6FA2"/>
    <w:rsid w:val="006C3A1F"/>
    <w:rsid w:val="006D29C2"/>
    <w:rsid w:val="007031C4"/>
    <w:rsid w:val="00736CAF"/>
    <w:rsid w:val="00790F76"/>
    <w:rsid w:val="007C1576"/>
    <w:rsid w:val="007C3814"/>
    <w:rsid w:val="007C5B23"/>
    <w:rsid w:val="007D40D8"/>
    <w:rsid w:val="007F6CCF"/>
    <w:rsid w:val="00803424"/>
    <w:rsid w:val="0081503C"/>
    <w:rsid w:val="00835925"/>
    <w:rsid w:val="008373DC"/>
    <w:rsid w:val="0085659C"/>
    <w:rsid w:val="008A5395"/>
    <w:rsid w:val="008B09B5"/>
    <w:rsid w:val="008D71D2"/>
    <w:rsid w:val="009579E7"/>
    <w:rsid w:val="0099331B"/>
    <w:rsid w:val="009B4373"/>
    <w:rsid w:val="009B7FE3"/>
    <w:rsid w:val="009D652E"/>
    <w:rsid w:val="009D76BD"/>
    <w:rsid w:val="009E270C"/>
    <w:rsid w:val="009E5FC0"/>
    <w:rsid w:val="009F2461"/>
    <w:rsid w:val="00A34E91"/>
    <w:rsid w:val="00A419DB"/>
    <w:rsid w:val="00A462F7"/>
    <w:rsid w:val="00A557B0"/>
    <w:rsid w:val="00A72EEA"/>
    <w:rsid w:val="00A805D7"/>
    <w:rsid w:val="00AA11ED"/>
    <w:rsid w:val="00AC16A9"/>
    <w:rsid w:val="00AD0CB5"/>
    <w:rsid w:val="00AF4C78"/>
    <w:rsid w:val="00B70E27"/>
    <w:rsid w:val="00BE29A4"/>
    <w:rsid w:val="00C52F53"/>
    <w:rsid w:val="00C75D52"/>
    <w:rsid w:val="00CA3653"/>
    <w:rsid w:val="00CB1F1E"/>
    <w:rsid w:val="00CB6020"/>
    <w:rsid w:val="00CD29C8"/>
    <w:rsid w:val="00CF7596"/>
    <w:rsid w:val="00D334E6"/>
    <w:rsid w:val="00D412F4"/>
    <w:rsid w:val="00D656A7"/>
    <w:rsid w:val="00D808D2"/>
    <w:rsid w:val="00D8300D"/>
    <w:rsid w:val="00D90AA2"/>
    <w:rsid w:val="00DA770F"/>
    <w:rsid w:val="00E4528E"/>
    <w:rsid w:val="00E519B2"/>
    <w:rsid w:val="00E80C4B"/>
    <w:rsid w:val="00E931EB"/>
    <w:rsid w:val="00ED3DD1"/>
    <w:rsid w:val="00EE08EF"/>
    <w:rsid w:val="00EE79AA"/>
    <w:rsid w:val="00EF09BA"/>
    <w:rsid w:val="00EF2E31"/>
    <w:rsid w:val="00EF33CF"/>
    <w:rsid w:val="00F0375E"/>
    <w:rsid w:val="00F446E1"/>
    <w:rsid w:val="00F778AE"/>
    <w:rsid w:val="00F83434"/>
    <w:rsid w:val="00F932FB"/>
    <w:rsid w:val="00FC091B"/>
    <w:rsid w:val="00FD6B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938BE01"/>
  <w14:defaultImageDpi w14:val="0"/>
  <w15:docId w15:val="{B099DFF7-1845-4979-84AA-30C0C538D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jc w:val="both"/>
    </w:pPr>
    <w:rPr>
      <w:rFonts w:ascii="Palatino" w:eastAsia="MS Mincho" w:hAnsi="Palatino" w:cs="Palatino"/>
      <w:color w:val="000000"/>
      <w:sz w:val="24"/>
      <w:szCs w:val="24"/>
      <w:lang w:val="en-US" w:eastAsia="ja-JP"/>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Pr>
      <w:rFonts w:ascii="Times New Roman" w:hAnsi="Times New Roman" w:cs="Times New Roman"/>
      <w:color w:val="0000FF"/>
      <w:u w:val="single"/>
    </w:rPr>
  </w:style>
  <w:style w:type="paragraph" w:styleId="BodyText2">
    <w:name w:val="Body Text 2"/>
    <w:basedOn w:val="Normal"/>
    <w:link w:val="BodyText2Char"/>
    <w:uiPriority w:val="99"/>
    <w:pPr>
      <w:ind w:firstLine="284"/>
    </w:pPr>
    <w:rPr>
      <w:sz w:val="22"/>
      <w:szCs w:val="22"/>
    </w:rPr>
  </w:style>
  <w:style w:type="character" w:customStyle="1" w:styleId="BodyText2Char">
    <w:name w:val="Body Text 2 Char"/>
    <w:basedOn w:val="DefaultParagraphFont"/>
    <w:link w:val="BodyText2"/>
    <w:uiPriority w:val="99"/>
    <w:semiHidden/>
    <w:locked/>
    <w:rPr>
      <w:rFonts w:ascii="Palatino" w:eastAsia="MS Mincho" w:hAnsi="Palatino" w:cs="Palatino"/>
      <w:color w:val="000000"/>
      <w:sz w:val="24"/>
      <w:szCs w:val="24"/>
      <w:lang w:val="en-US" w:eastAsia="ja-JP"/>
    </w:rPr>
  </w:style>
  <w:style w:type="paragraph" w:styleId="PlainText">
    <w:name w:val="Plain Text"/>
    <w:basedOn w:val="Normal"/>
    <w:link w:val="PlainTextChar"/>
    <w:uiPriority w:val="99"/>
    <w:pPr>
      <w:jc w:val="left"/>
    </w:pPr>
    <w:rPr>
      <w:rFonts w:ascii="Courier New" w:hAnsi="Courier New" w:cs="Courier New"/>
      <w:color w:val="auto"/>
      <w:sz w:val="20"/>
      <w:szCs w:val="20"/>
    </w:rPr>
  </w:style>
  <w:style w:type="character" w:customStyle="1" w:styleId="PlainTextChar">
    <w:name w:val="Plain Text Char"/>
    <w:basedOn w:val="DefaultParagraphFont"/>
    <w:link w:val="PlainText"/>
    <w:uiPriority w:val="99"/>
    <w:semiHidden/>
    <w:locked/>
    <w:rPr>
      <w:rFonts w:ascii="Courier New" w:eastAsia="MS Mincho" w:hAnsi="Courier New" w:cs="Courier New"/>
      <w:color w:val="000000"/>
      <w:lang w:val="en-US" w:eastAsia="ja-JP"/>
    </w:rPr>
  </w:style>
  <w:style w:type="paragraph" w:styleId="BodyTextIndent2">
    <w:name w:val="Body Text Indent 2"/>
    <w:basedOn w:val="Normal"/>
    <w:link w:val="BodyTextIndent2Char"/>
    <w:uiPriority w:val="99"/>
    <w:pPr>
      <w:ind w:firstLine="284"/>
      <w:jc w:val="left"/>
    </w:pPr>
    <w:rPr>
      <w:b/>
      <w:bCs/>
      <w:sz w:val="22"/>
      <w:szCs w:val="22"/>
    </w:rPr>
  </w:style>
  <w:style w:type="character" w:customStyle="1" w:styleId="BodyTextIndent2Char">
    <w:name w:val="Body Text Indent 2 Char"/>
    <w:basedOn w:val="DefaultParagraphFont"/>
    <w:link w:val="BodyTextIndent2"/>
    <w:uiPriority w:val="99"/>
    <w:semiHidden/>
    <w:locked/>
    <w:rPr>
      <w:rFonts w:ascii="Palatino" w:eastAsia="MS Mincho" w:hAnsi="Palatino" w:cs="Palatino"/>
      <w:color w:val="000000"/>
      <w:sz w:val="24"/>
      <w:szCs w:val="24"/>
      <w:lang w:val="en-US" w:eastAsia="ja-JP"/>
    </w:rPr>
  </w:style>
  <w:style w:type="paragraph" w:styleId="BodyTextIndent3">
    <w:name w:val="Body Text Indent 3"/>
    <w:basedOn w:val="Normal"/>
    <w:link w:val="BodyTextIndent3Char"/>
    <w:uiPriority w:val="99"/>
    <w:pPr>
      <w:ind w:firstLine="284"/>
    </w:pPr>
    <w:rPr>
      <w:rFonts w:ascii="Times New Roman" w:hAnsi="Times New Roman" w:cs="Times New Roman"/>
      <w:b/>
      <w:bCs/>
      <w:sz w:val="22"/>
      <w:szCs w:val="22"/>
    </w:rPr>
  </w:style>
  <w:style w:type="character" w:customStyle="1" w:styleId="BodyTextIndent3Char">
    <w:name w:val="Body Text Indent 3 Char"/>
    <w:basedOn w:val="DefaultParagraphFont"/>
    <w:link w:val="BodyTextIndent3"/>
    <w:uiPriority w:val="99"/>
    <w:semiHidden/>
    <w:locked/>
    <w:rPr>
      <w:rFonts w:ascii="Palatino" w:eastAsia="MS Mincho" w:hAnsi="Palatino" w:cs="Palatino"/>
      <w:color w:val="000000"/>
      <w:sz w:val="16"/>
      <w:szCs w:val="16"/>
      <w:lang w:val="en-US" w:eastAsia="ja-JP"/>
    </w:rPr>
  </w:style>
  <w:style w:type="paragraph" w:styleId="Header">
    <w:name w:val="header"/>
    <w:basedOn w:val="Normal"/>
    <w:link w:val="HeaderChar"/>
    <w:uiPriority w:val="99"/>
    <w:rsid w:val="00E4528E"/>
    <w:pPr>
      <w:tabs>
        <w:tab w:val="center" w:pos="4320"/>
        <w:tab w:val="right" w:pos="8640"/>
      </w:tabs>
    </w:pPr>
  </w:style>
  <w:style w:type="character" w:customStyle="1" w:styleId="HeaderChar">
    <w:name w:val="Header Char"/>
    <w:basedOn w:val="DefaultParagraphFont"/>
    <w:link w:val="Header"/>
    <w:uiPriority w:val="99"/>
    <w:semiHidden/>
    <w:locked/>
    <w:rPr>
      <w:rFonts w:ascii="Palatino" w:eastAsia="MS Mincho" w:hAnsi="Palatino" w:cs="Palatino"/>
      <w:color w:val="000000"/>
      <w:sz w:val="24"/>
      <w:szCs w:val="24"/>
      <w:lang w:val="en-US" w:eastAsia="ja-JP"/>
    </w:rPr>
  </w:style>
  <w:style w:type="paragraph" w:styleId="Footer">
    <w:name w:val="footer"/>
    <w:basedOn w:val="Normal"/>
    <w:link w:val="FooterChar"/>
    <w:uiPriority w:val="99"/>
    <w:rsid w:val="00E4528E"/>
    <w:pPr>
      <w:tabs>
        <w:tab w:val="center" w:pos="4320"/>
        <w:tab w:val="right" w:pos="8640"/>
      </w:tabs>
    </w:pPr>
  </w:style>
  <w:style w:type="character" w:customStyle="1" w:styleId="FooterChar">
    <w:name w:val="Footer Char"/>
    <w:basedOn w:val="DefaultParagraphFont"/>
    <w:link w:val="Footer"/>
    <w:uiPriority w:val="99"/>
    <w:semiHidden/>
    <w:locked/>
    <w:rPr>
      <w:rFonts w:ascii="Palatino" w:eastAsia="MS Mincho" w:hAnsi="Palatino" w:cs="Palatino"/>
      <w:color w:val="000000"/>
      <w:sz w:val="24"/>
      <w:szCs w:val="24"/>
      <w:lang w:val="en-US" w:eastAsia="ja-JP"/>
    </w:rPr>
  </w:style>
  <w:style w:type="character" w:styleId="PageNumber">
    <w:name w:val="page number"/>
    <w:basedOn w:val="DefaultParagraphFont"/>
    <w:uiPriority w:val="99"/>
    <w:rsid w:val="00E4528E"/>
    <w:rPr>
      <w:rFonts w:cs="Times New Roman"/>
    </w:rPr>
  </w:style>
  <w:style w:type="character" w:styleId="UnresolvedMention">
    <w:name w:val="Unresolved Mention"/>
    <w:basedOn w:val="DefaultParagraphFont"/>
    <w:uiPriority w:val="99"/>
    <w:semiHidden/>
    <w:unhideWhenUsed/>
    <w:rsid w:val="00274257"/>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496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361</Words>
  <Characters>2058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Abstract Template for 6th International Conference on</vt:lpstr>
    </vt:vector>
  </TitlesOfParts>
  <Company>ICPM-6</Company>
  <LinksUpToDate>false</LinksUpToDate>
  <CharactersWithSpaces>2415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Abstract Template for 6th International Conference on</dc:title>
  <dc:subject/>
  <dc:creator>ICPM-6</dc:creator>
  <cp:keywords/>
  <dc:description/>
  <cp:lastModifiedBy>Dinis</cp:lastModifiedBy>
  <cp:revision>21</cp:revision>
  <cp:lastPrinted>2016-01-14T19:34:00Z</cp:lastPrinted>
  <dcterms:created xsi:type="dcterms:W3CDTF">2026-01-08T10:24:00Z</dcterms:created>
  <dcterms:modified xsi:type="dcterms:W3CDTF">2026-05-27T19:13:00Z</dcterms:modified>
</cp:coreProperties>
</file>