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sz w:val="32"/>
          <w:szCs w:val="32"/>
          <w:lang w:val="en-GB"/>
        </w:rPr>
      </w:pPr>
      <w:r>
        <w:rPr>
          <w:rFonts w:cs="Times New Roman" w:ascii="Times New Roman" w:hAnsi="Times New Roman"/>
          <w:b/>
          <w:bCs/>
          <w:sz w:val="32"/>
          <w:szCs w:val="32"/>
          <w:lang w:val="en-GB"/>
        </w:rPr>
        <w:t>Effects of amphoteric molecules on proton conduction in the [C2HIm][OAc] Pseudo-Protic Ionic Liquid system</w:t>
      </w:r>
    </w:p>
    <w:p>
      <w:pPr>
        <w:pStyle w:val="Normal"/>
        <w:jc w:val="center"/>
        <w:rPr>
          <w:rFonts w:ascii="Times New Roman" w:hAnsi="Times New Roman" w:cs="Times New Roman"/>
          <w:sz w:val="20"/>
          <w:szCs w:val="20"/>
          <w:lang w:val="en-GB"/>
        </w:rPr>
      </w:pPr>
      <w:r>
        <w:rPr>
          <w:rFonts w:cs="Times New Roman" w:ascii="Times New Roman" w:hAnsi="Times New Roman"/>
          <w:sz w:val="20"/>
          <w:szCs w:val="20"/>
          <w:lang w:val="en-GB"/>
        </w:rPr>
      </w:r>
    </w:p>
    <w:p>
      <w:pPr>
        <w:pStyle w:val="Normal"/>
        <w:jc w:val="center"/>
        <w:rPr>
          <w:rFonts w:ascii="Times New Roman" w:hAnsi="Times New Roman" w:cs="Times New Roman"/>
          <w:b/>
          <w:bCs/>
          <w:lang w:val="en-GB"/>
        </w:rPr>
      </w:pPr>
      <w:r>
        <w:rPr>
          <w:rFonts w:cs="Times New Roman" w:ascii="Times New Roman" w:hAnsi="Times New Roman"/>
          <w:b/>
          <w:bCs/>
          <w:u w:val="single"/>
          <w:lang w:val="en-GB"/>
        </w:rPr>
        <w:t>Y</w:t>
      </w:r>
      <w:r>
        <w:rPr>
          <w:rFonts w:cs="Times New Roman" w:ascii="Times New Roman" w:hAnsi="Times New Roman"/>
          <w:b/>
          <w:bCs/>
          <w:u w:val="single"/>
          <w:lang w:val="en-GB"/>
        </w:rPr>
        <w:t>ashna Dawer</w:t>
      </w:r>
      <w:r>
        <w:rPr>
          <w:rFonts w:cs="Times New Roman" w:ascii="Times New Roman" w:hAnsi="Times New Roman"/>
          <w:b/>
          <w:bCs/>
          <w:vertAlign w:val="superscript"/>
          <w:lang w:val="en-GB"/>
        </w:rPr>
        <w:t>1</w:t>
      </w:r>
      <w:r>
        <w:rPr>
          <w:rFonts w:cs="Times New Roman" w:ascii="Times New Roman" w:hAnsi="Times New Roman"/>
          <w:b/>
          <w:bCs/>
          <w:lang w:val="en-GB"/>
        </w:rPr>
        <w:t xml:space="preserve">, Prof. Dr. Barbara Kirchner </w:t>
      </w:r>
      <w:r>
        <w:rPr>
          <w:rFonts w:cs="Times New Roman" w:ascii="Times New Roman" w:hAnsi="Times New Roman"/>
          <w:b/>
          <w:bCs/>
          <w:vertAlign w:val="superscript"/>
          <w:lang w:val="en-GB"/>
        </w:rPr>
        <w:t>1</w:t>
      </w:r>
    </w:p>
    <w:p>
      <w:pPr>
        <w:pStyle w:val="Normal"/>
        <w:jc w:val="center"/>
        <w:rPr>
          <w:rFonts w:ascii="Times New Roman" w:hAnsi="Times New Roman" w:cs="Times New Roman"/>
          <w:sz w:val="22"/>
          <w:szCs w:val="22"/>
        </w:rPr>
      </w:pPr>
      <w:r>
        <w:rPr>
          <w:rFonts w:cs="Times New Roman" w:ascii="Times New Roman" w:hAnsi="Times New Roman"/>
          <w:sz w:val="22"/>
          <w:szCs w:val="22"/>
          <w:vertAlign w:val="superscript"/>
          <w:lang w:val="en-GB"/>
        </w:rPr>
        <w:t>1</w:t>
      </w:r>
      <w:r>
        <w:rPr>
          <w:rFonts w:cs="Times New Roman" w:ascii="Times New Roman" w:hAnsi="Times New Roman"/>
          <w:sz w:val="22"/>
          <w:szCs w:val="22"/>
        </w:rPr>
        <w:t>Mulliken Center for Theoretical Chemistry, University of Bonn,  Beringstr. 4, 53115 Bonn, Germany</w:t>
      </w:r>
    </w:p>
    <w:p>
      <w:pPr>
        <w:pStyle w:val="Normal"/>
        <w:jc w:val="center"/>
        <w:rPr>
          <w:rFonts w:ascii="Times New Roman" w:hAnsi="Times New Roman" w:cs="Times New Roman"/>
          <w:sz w:val="22"/>
          <w:szCs w:val="22"/>
          <w:lang w:val="en-GB"/>
        </w:rPr>
      </w:pPr>
      <w:r>
        <w:rPr>
          <w:rFonts w:cs="Times New Roman" w:ascii="Times New Roman" w:hAnsi="Times New Roman"/>
          <w:sz w:val="22"/>
          <w:szCs w:val="22"/>
          <w:lang w:val="en-GB"/>
        </w:rPr>
        <w:t xml:space="preserve">e-mail: </w:t>
      </w:r>
      <w:hyperlink r:id="rId2">
        <w:r>
          <w:rPr>
            <w:rStyle w:val="Hyperlink"/>
            <w:sz w:val="22"/>
            <w:szCs w:val="22"/>
            <w:lang w:val="en-GB"/>
          </w:rPr>
          <w:t>ydawer@uni-bonn.de</w:t>
        </w:r>
      </w:hyperlink>
      <w:r>
        <w:rPr>
          <w:rFonts w:cs="Times New Roman" w:ascii="Times New Roman" w:hAnsi="Times New Roman"/>
          <w:sz w:val="22"/>
          <w:szCs w:val="22"/>
          <w:lang w:val="en-GB"/>
        </w:rPr>
        <w:t xml:space="preserve"> </w:t>
      </w:r>
    </w:p>
    <w:p>
      <w:pPr>
        <w:pStyle w:val="Normal"/>
        <w:rPr>
          <w:rFonts w:ascii="Times New Roman" w:hAnsi="Times New Roman" w:cs="Times New Roman"/>
          <w:lang w:val="en-GB"/>
        </w:rPr>
      </w:pPr>
      <w:r>
        <w:rPr>
          <w:rFonts w:cs="Times New Roman" w:ascii="Times New Roman" w:hAnsi="Times New Roman"/>
          <w:lang w:val="en-GB"/>
        </w:rPr>
      </w:r>
    </w:p>
    <w:p>
      <w:pPr>
        <w:pStyle w:val="Normal"/>
        <w:jc w:val="left"/>
        <w:rPr>
          <w:rFonts w:ascii="Times New Roman" w:hAnsi="Times New Roman" w:cs="Times New Roman"/>
          <w:lang w:val="en-GB"/>
        </w:rPr>
      </w:pPr>
      <w:r>
        <w:rPr>
          <w:rFonts w:cs="Times New Roman" w:ascii="Times New Roman" w:hAnsi="Times New Roman"/>
          <w:lang w:val="en-GB"/>
        </w:rPr>
      </w:r>
    </w:p>
    <w:p>
      <w:pPr>
        <w:pStyle w:val="Normal"/>
        <w:jc w:val="left"/>
        <w:rPr/>
      </w:pPr>
      <w:r>
        <w:rPr>
          <w:rFonts w:cs="Times New Roman" w:ascii="Times New Roman" w:hAnsi="Times New Roman"/>
          <w:lang w:val="en-GB"/>
        </w:rPr>
        <w:t xml:space="preserve">Pseudo-protic ionic liquids have recently become interesting candidates for potential application as proton-conducting electrolytes in fuel cells. These form a unique class of ionic liquids which owing to the low pKa difference between the involved species undergo partial ionization, leading to a complicated mixture inherently consisting of neutral molecules along with the dissociated ions. This affords the formation of extensive hydrogen bonding networks within the ionic liquids allowing for proton shuttling through the system, thus, inducing a Grotthuss diffusion enhanced conductivity. </w:t>
      </w:r>
    </w:p>
    <w:p>
      <w:pPr>
        <w:pStyle w:val="Normal"/>
        <w:jc w:val="left"/>
        <w:rPr>
          <w:rFonts w:ascii="Times New Roman" w:hAnsi="Times New Roman" w:cs="Times New Roman"/>
          <w:lang w:val="en-GB"/>
        </w:rPr>
      </w:pPr>
      <w:r>
        <w:rPr>
          <w:rFonts w:cs="Times New Roman" w:ascii="Times New Roman" w:hAnsi="Times New Roman"/>
          <w:lang w:val="en-GB"/>
        </w:rPr>
      </w:r>
    </w:p>
    <w:p>
      <w:pPr>
        <w:pStyle w:val="Normal"/>
        <w:jc w:val="left"/>
        <w:rPr/>
      </w:pPr>
      <w:r>
        <w:rPr>
          <w:rFonts w:cs="Times New Roman" w:ascii="Times New Roman" w:hAnsi="Times New Roman"/>
          <w:lang w:val="en-GB"/>
        </w:rPr>
        <w:t xml:space="preserve">In previous studies, the rich acid-base equilibrium in the </w:t>
      </w:r>
      <w:r>
        <w:rPr>
          <w:rFonts w:cs="Times New Roman" w:ascii="Times New Roman" w:hAnsi="Times New Roman"/>
        </w:rPr>
        <w:t>1-methyimidazolium acetate</w:t>
      </w:r>
      <w:r>
        <w:rPr>
          <w:rFonts w:cs="Times New Roman" w:ascii="Times New Roman" w:hAnsi="Times New Roman"/>
          <w:lang w:val="en-GB"/>
        </w:rPr>
        <w:t xml:space="preserve"> [C1HIm][OAc] system has been investigated through classical and </w:t>
      </w:r>
      <w:r>
        <w:rPr>
          <w:rFonts w:cs="Times New Roman" w:ascii="Times New Roman" w:hAnsi="Times New Roman"/>
          <w:i/>
          <w:iCs/>
          <w:lang w:val="en-GB"/>
        </w:rPr>
        <w:t>ab initio</w:t>
      </w:r>
      <w:r>
        <w:rPr>
          <w:rFonts w:cs="Times New Roman" w:ascii="Times New Roman" w:hAnsi="Times New Roman"/>
          <w:lang w:val="en-GB"/>
        </w:rPr>
        <w:t xml:space="preserve"> molecular dynamics simulations to reveal factors influencing the conductivity, including the degree of ionization and introduction of neutral molecules [1, 2]. In this contribution, we are extending the study to the [C2HIm][OAc] ionic liquid – using </w:t>
      </w:r>
      <w:r>
        <w:rPr>
          <w:rFonts w:cs="Times New Roman" w:ascii="Times New Roman" w:hAnsi="Times New Roman"/>
          <w:i/>
          <w:iCs/>
          <w:lang w:val="en-GB"/>
        </w:rPr>
        <w:t>ab initio</w:t>
      </w:r>
      <w:r>
        <w:rPr>
          <w:rFonts w:cs="Times New Roman" w:ascii="Times New Roman" w:hAnsi="Times New Roman"/>
          <w:lang w:val="en-GB"/>
        </w:rPr>
        <w:t xml:space="preserve"> MD (AIMD) simulations to investigate the effect of the increased side chain length on the hydrogen bond network formation and therefore, on the expected facile proton transport mechanism. </w:t>
      </w:r>
    </w:p>
    <w:p>
      <w:pPr>
        <w:pStyle w:val="Normal"/>
        <w:jc w:val="left"/>
        <w:rPr>
          <w:rFonts w:ascii="Times New Roman" w:hAnsi="Times New Roman" w:cs="Times New Roman"/>
          <w:lang w:val="en-GB"/>
        </w:rPr>
      </w:pPr>
      <w:r>
        <w:rPr>
          <w:rFonts w:cs="Times New Roman" w:ascii="Times New Roman" w:hAnsi="Times New Roman"/>
          <w:lang w:val="en-GB"/>
        </w:rPr>
      </w:r>
    </w:p>
    <w:p>
      <w:pPr>
        <w:pStyle w:val="Normal"/>
        <w:jc w:val="left"/>
        <w:rPr/>
      </w:pPr>
      <w:r>
        <w:rPr>
          <w:rFonts w:cs="Times New Roman" w:ascii="Times New Roman" w:hAnsi="Times New Roman"/>
          <w:lang w:val="en-GB"/>
        </w:rPr>
        <w:t xml:space="preserve">Since conductivity in such systems is sensitive to the introduction of amphoteric molecules, we explore the influence of the simple α-amino acid – L-alanine in its neutral and zwitterionic forms on the ionization and Grotthuss diffusion. Moreover, a similar investigation is performed with the neutral and protonated forms of an interesting non-canonical analogue of alanine, namely, 2-aminopropionamidine (N-alanine). These nitrogen-based analogues of α-amino acids known as α-amino amidines were brought into focus by J.B.S. Haldane’s proposition of ammonia as a possible life-supporting solvent and differ from native amino acids solely in the replacement of oxygen-based functionalities by nitrogen-based counterparts. In our previous investigations [3, 4], the solvation behaviours of these compounds in water and ammonia have been studied, contrasting them with those of α-amino acids. Based on findings from these studies, they could be considered potential candidates for aiding proton conduction in ionic liquids – a question that is explored in the present investigation.  </w:t>
      </w:r>
    </w:p>
    <w:p>
      <w:pPr>
        <w:pStyle w:val="BodyText2"/>
        <w:rPr>
          <w:rFonts w:ascii="Times New Roman" w:hAnsi="Times New Roman" w:cs="Times New Roman"/>
          <w:sz w:val="24"/>
          <w:szCs w:val="24"/>
          <w:lang w:val="en-GB"/>
        </w:rPr>
      </w:pPr>
      <w:r>
        <w:rPr>
          <w:rFonts w:cs="Times New Roman" w:ascii="Times New Roman" w:hAnsi="Times New Roman"/>
          <w:sz w:val="24"/>
          <w:szCs w:val="24"/>
          <w:lang w:val="en-GB"/>
        </w:rPr>
      </w:r>
    </w:p>
    <w:p>
      <w:pPr>
        <w:pStyle w:val="BodyText2"/>
        <w:rPr>
          <w:rFonts w:ascii="Times New Roman" w:hAnsi="Times New Roman" w:cs="Times New Roman"/>
          <w:sz w:val="24"/>
          <w:szCs w:val="24"/>
          <w:lang w:val="en-GB"/>
        </w:rPr>
      </w:pPr>
      <w:r>
        <w:rPr>
          <w:rFonts w:cs="Times New Roman" w:ascii="Times New Roman" w:hAnsi="Times New Roman"/>
          <w:sz w:val="24"/>
          <w:szCs w:val="24"/>
          <w:lang w:val="en-GB"/>
        </w:rPr>
      </w:r>
    </w:p>
    <w:p>
      <w:pPr>
        <w:pStyle w:val="Normal"/>
        <w:rPr>
          <w:rFonts w:ascii="Times New Roman" w:hAnsi="Times New Roman" w:cs="Times New Roman"/>
          <w:b/>
          <w:bCs/>
          <w:lang w:val="en-GB"/>
        </w:rPr>
      </w:pPr>
      <w:r>
        <w:rPr>
          <w:rFonts w:cs="Times New Roman" w:ascii="Times New Roman" w:hAnsi="Times New Roman"/>
          <w:b/>
          <w:bCs/>
          <w:lang w:val="en-GB"/>
        </w:rPr>
        <w:t>References</w:t>
      </w:r>
    </w:p>
    <w:p>
      <w:pPr>
        <w:pStyle w:val="Normal"/>
        <w:rPr>
          <w:rFonts w:ascii="Times New Roman" w:hAnsi="Times New Roman" w:cs="Times New Roman"/>
          <w:lang w:val="en-IN"/>
        </w:rPr>
      </w:pPr>
      <w:r>
        <w:rPr>
          <w:rFonts w:cs="Times New Roman" w:ascii="Times New Roman" w:hAnsi="Times New Roman"/>
          <w:lang w:val="en-IN"/>
        </w:rPr>
        <w:t xml:space="preserve">[1]  L. Wylie, M. Kéri, A. Udvardy, O. Hollóczki, and B. Kirchner, </w:t>
      </w:r>
      <w:r>
        <w:rPr>
          <w:rFonts w:cs="Times New Roman" w:ascii="Times New Roman" w:hAnsi="Times New Roman"/>
          <w:i/>
          <w:iCs/>
          <w:lang w:val="en-IN"/>
        </w:rPr>
        <w:t>ChemSusChem</w:t>
      </w:r>
      <w:r>
        <w:rPr>
          <w:rFonts w:cs="Times New Roman" w:ascii="Times New Roman" w:hAnsi="Times New Roman"/>
          <w:lang w:val="en-IN"/>
        </w:rPr>
        <w:t xml:space="preserve">, </w:t>
      </w:r>
      <w:r>
        <w:rPr>
          <w:rFonts w:cs="Times New Roman" w:ascii="Times New Roman" w:hAnsi="Times New Roman"/>
          <w:b/>
          <w:bCs/>
          <w:lang w:val="en-IN"/>
        </w:rPr>
        <w:t>16</w:t>
      </w:r>
      <w:r>
        <w:rPr>
          <w:rFonts w:cs="Times New Roman" w:ascii="Times New Roman" w:hAnsi="Times New Roman"/>
          <w:lang w:val="en-IN"/>
        </w:rPr>
        <w:t>, e202300535 (2023).</w:t>
      </w:r>
    </w:p>
    <w:p>
      <w:pPr>
        <w:pStyle w:val="Normal"/>
        <w:rPr>
          <w:rFonts w:ascii="Times New Roman" w:hAnsi="Times New Roman" w:cs="Times New Roman"/>
          <w:lang w:val="en-IN"/>
        </w:rPr>
      </w:pPr>
      <w:r>
        <w:rPr>
          <w:rFonts w:cs="Times New Roman" w:ascii="Times New Roman" w:hAnsi="Times New Roman"/>
          <w:lang w:val="en-IN"/>
        </w:rPr>
        <w:t xml:space="preserve">[2]  J. Ingenmey, S. Gehrke, and B. Kirchner, </w:t>
      </w:r>
      <w:r>
        <w:rPr>
          <w:rFonts w:cs="Times New Roman" w:ascii="Times New Roman" w:hAnsi="Times New Roman"/>
          <w:i/>
          <w:iCs/>
          <w:lang w:val="en-IN"/>
        </w:rPr>
        <w:t>ChemSusChem</w:t>
      </w:r>
      <w:r>
        <w:rPr>
          <w:rFonts w:cs="Times New Roman" w:ascii="Times New Roman" w:hAnsi="Times New Roman"/>
          <w:lang w:val="en-IN"/>
        </w:rPr>
        <w:t xml:space="preserve">, </w:t>
      </w:r>
      <w:r>
        <w:rPr>
          <w:rFonts w:cs="Times New Roman" w:ascii="Times New Roman" w:hAnsi="Times New Roman"/>
          <w:b/>
          <w:bCs/>
          <w:lang w:val="en-IN"/>
        </w:rPr>
        <w:t>11</w:t>
      </w:r>
      <w:r>
        <w:rPr>
          <w:rFonts w:cs="Times New Roman" w:ascii="Times New Roman" w:hAnsi="Times New Roman"/>
          <w:lang w:val="en-IN"/>
        </w:rPr>
        <w:t>, 1900 (2018).</w:t>
      </w:r>
    </w:p>
    <w:p>
      <w:pPr>
        <w:pStyle w:val="Normal"/>
        <w:rPr>
          <w:rFonts w:ascii="Times New Roman" w:hAnsi="Times New Roman" w:cs="Times New Roman"/>
          <w:lang w:val="en-IN"/>
        </w:rPr>
      </w:pPr>
      <w:r>
        <w:rPr>
          <w:rFonts w:cs="Times New Roman" w:ascii="Times New Roman" w:hAnsi="Times New Roman"/>
          <w:lang w:val="en-IN"/>
        </w:rPr>
        <w:t xml:space="preserve">[3]  H. Niemöller, J. Blasius, O. Hollóczki, and B. Kirchner, </w:t>
      </w:r>
      <w:r>
        <w:rPr>
          <w:rFonts w:cs="Times New Roman" w:ascii="Times New Roman" w:hAnsi="Times New Roman"/>
          <w:i/>
          <w:iCs/>
          <w:lang w:val="en-IN"/>
        </w:rPr>
        <w:t>Journal of Molecular Liquids</w:t>
      </w:r>
      <w:r>
        <w:rPr>
          <w:rFonts w:cs="Times New Roman" w:ascii="Times New Roman" w:hAnsi="Times New Roman"/>
          <w:lang w:val="en-IN"/>
        </w:rPr>
        <w:t xml:space="preserve">, </w:t>
      </w:r>
      <w:r>
        <w:rPr>
          <w:rFonts w:cs="Times New Roman" w:ascii="Times New Roman" w:hAnsi="Times New Roman"/>
          <w:b/>
          <w:bCs/>
          <w:lang w:val="en-IN"/>
        </w:rPr>
        <w:t>367</w:t>
      </w:r>
      <w:r>
        <w:rPr>
          <w:rFonts w:cs="Times New Roman" w:ascii="Times New Roman" w:hAnsi="Times New Roman"/>
          <w:lang w:val="en-IN"/>
        </w:rPr>
        <w:t>, 120282 (2022).</w:t>
      </w:r>
    </w:p>
    <w:p>
      <w:pPr>
        <w:pStyle w:val="Normal"/>
        <w:rPr>
          <w:rFonts w:ascii="Times New Roman" w:hAnsi="Times New Roman" w:cs="Times New Roman"/>
          <w:lang w:val="en-IN"/>
        </w:rPr>
      </w:pPr>
      <w:r>
        <w:rPr>
          <w:rFonts w:cs="Times New Roman" w:ascii="Times New Roman" w:hAnsi="Times New Roman"/>
          <w:lang w:val="en-IN"/>
        </w:rPr>
        <w:t xml:space="preserve">[4]  H. Niemöller, J. Ingenmey, O. Hollóczki, and B. Kirchner, </w:t>
      </w:r>
      <w:r>
        <w:rPr>
          <w:rFonts w:cs="Times New Roman" w:ascii="Times New Roman" w:hAnsi="Times New Roman"/>
          <w:i/>
          <w:iCs/>
          <w:lang w:val="en-IN"/>
        </w:rPr>
        <w:t>The Journal of Physical Chemistry B</w:t>
      </w:r>
      <w:r>
        <w:rPr>
          <w:rFonts w:cs="Times New Roman" w:ascii="Times New Roman" w:hAnsi="Times New Roman"/>
          <w:lang w:val="en-IN"/>
        </w:rPr>
        <w:t xml:space="preserve">, </w:t>
      </w:r>
      <w:r>
        <w:rPr>
          <w:rFonts w:cs="Times New Roman" w:ascii="Times New Roman" w:hAnsi="Times New Roman"/>
          <w:b/>
          <w:bCs/>
          <w:lang w:val="en-IN"/>
        </w:rPr>
        <w:t>129</w:t>
      </w:r>
      <w:r>
        <w:rPr>
          <w:rFonts w:cs="Times New Roman" w:ascii="Times New Roman" w:hAnsi="Times New Roman"/>
          <w:lang w:val="en-IN"/>
        </w:rPr>
        <w:t>, 3007–3017 (2025).</w:t>
      </w:r>
    </w:p>
    <w:p>
      <w:pPr>
        <w:pStyle w:val="Normal"/>
        <w:jc w:val="left"/>
        <w:rPr>
          <w:rFonts w:ascii="Times New Roman" w:hAnsi="Times New Roman" w:cs="Times New Roman"/>
          <w:lang w:val="en-GB"/>
        </w:rPr>
      </w:pPr>
      <w:r>
        <w:rPr>
          <w:rFonts w:cs="Times New Roman" w:ascii="Times New Roman" w:hAnsi="Times New Roman"/>
          <w:lang w:val="en-GB"/>
        </w:rPr>
      </w:r>
    </w:p>
    <w:p>
      <w:pPr>
        <w:pStyle w:val="Normal"/>
        <w:jc w:val="left"/>
        <w:rPr>
          <w:rFonts w:ascii="Times New Roman" w:hAnsi="Times New Roman" w:cs="Times New Roman"/>
          <w:lang w:val="en-GB"/>
        </w:rPr>
      </w:pPr>
      <w:r>
        <w:rPr>
          <w:rFonts w:cs="Times New Roman" w:ascii="Times New Roman" w:hAnsi="Times New Roman"/>
          <w:lang w:val="en-GB"/>
        </w:rPr>
      </w:r>
    </w:p>
    <w:p>
      <w:pPr>
        <w:pStyle w:val="Normal"/>
        <w:jc w:val="left"/>
        <w:rPr>
          <w:rFonts w:ascii="Times New Roman" w:hAnsi="Times New Roman" w:cs="Times New Roman"/>
          <w:lang w:val="en-GB"/>
        </w:rPr>
      </w:pPr>
      <w:r>
        <w:rPr>
          <w:rFonts w:cs="Times New Roman" w:ascii="Times New Roman" w:hAnsi="Times New Roman"/>
          <w:lang w:val="en-GB"/>
        </w:rPr>
      </w:r>
    </w:p>
    <w:p>
      <w:pPr>
        <w:pStyle w:val="Normal"/>
        <w:jc w:val="left"/>
        <w:rPr>
          <w:rFonts w:ascii="Times New Roman" w:hAnsi="Times New Roman" w:cs="Times New Roman"/>
          <w:lang w:val="en-GB"/>
        </w:rPr>
      </w:pPr>
      <w:r>
        <w:rPr>
          <w:rFonts w:cs="Times New Roman" w:ascii="Times New Roman" w:hAnsi="Times New Roman"/>
          <w:lang w:val="en-GB"/>
        </w:rPr>
      </w:r>
    </w:p>
    <w:p>
      <w:pPr>
        <w:pStyle w:val="Normal"/>
        <w:ind w:right="-2"/>
        <w:jc w:val="left"/>
        <w:rPr>
          <w:rFonts w:ascii="Times New Roman" w:hAnsi="Times New Roman" w:cs="Times New Roman"/>
          <w:color w:val="auto"/>
          <w:lang w:val="en-GB"/>
        </w:rPr>
      </w:pPr>
      <w:r>
        <w:rPr>
          <w:rFonts w:cs="Times New Roman" w:ascii="Times New Roman" w:hAnsi="Times New Roman"/>
          <w:color w:val="auto"/>
          <w:lang w:val="en-GB"/>
        </w:rPr>
      </w:r>
    </w:p>
    <w:sectPr>
      <w:headerReference w:type="even" r:id="rId3"/>
      <w:headerReference w:type="default" r:id="rId4"/>
      <w:headerReference w:type="first" r:id="rId5"/>
      <w:type w:val="nextPage"/>
      <w:pgSz w:w="11906" w:h="16838"/>
      <w:pgMar w:left="1134" w:right="1134" w:gutter="113" w:header="454" w:top="1134" w:footer="0" w:bottom="1134"/>
      <w:pgNumType w:fmt="decimal"/>
      <w:formProt w:val="false"/>
      <w:titlePg/>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Palatino">
    <w:charset w:val="01"/>
    <w:family w:val="roman"/>
    <w:pitch w:val="variable"/>
  </w:font>
  <w:font w:name="Courier New">
    <w:charset w:val="01"/>
    <w:family w:val="roman"/>
    <w:pitch w:val="variable"/>
  </w:font>
  <w:font w:name="Liberation Sans">
    <w:altName w:val="Arial"/>
    <w:charset w:val="01"/>
    <w:family w:val="swiss"/>
    <w:pitch w:val="variable"/>
  </w:font>
  <w:font w:name="Calibri">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Calibri" w:hAnsi="Calibri" w:cs="Times New Roman" w:asciiTheme="minorHAnsi" w:hAnsiTheme="minorHAnsi"/>
        <w:b/>
        <w:color w:themeColor="text1" w:themeTint="80" w:val="7F7F7F"/>
        <w:sz w:val="20"/>
        <w:szCs w:val="22"/>
      </w:rPr>
    </w:pPr>
    <w:r>
      <w:rPr>
        <w:rFonts w:cs="Times New Roman" w:ascii="Calibri" w:hAnsi="Calibri" w:asciiTheme="minorHAnsi" w:hAnsiTheme="minorHAnsi"/>
        <w:b/>
        <w:color w:themeColor="text1" w:themeTint="80" w:val="7F7F7F"/>
        <w:sz w:val="20"/>
        <w:szCs w:val="22"/>
      </w:rPr>
      <w:t>European Molecular Liquids Group and Japanese Molecular Liquids Group Annual Meeting (EMLG/JMLG 2026)</w:t>
    </w:r>
  </w:p>
  <w:p>
    <w:pPr>
      <w:pStyle w:val="Header"/>
      <w:tabs>
        <w:tab w:val="clear" w:pos="4320"/>
        <w:tab w:val="right" w:pos="8640" w:leader="none"/>
      </w:tabs>
      <w:jc w:val="center"/>
      <w:rPr>
        <w:rFonts w:ascii="Calibri" w:hAnsi="Calibri" w:cs="Times New Roman" w:asciiTheme="minorHAnsi" w:hAnsiTheme="minorHAnsi"/>
        <w:b/>
        <w:color w:themeColor="text1" w:themeTint="80" w:val="7F7F7F"/>
        <w:sz w:val="20"/>
        <w:szCs w:val="22"/>
      </w:rPr>
    </w:pPr>
    <w:r>
      <w:rPr>
        <w:rFonts w:cs="Times New Roman" w:ascii="Calibri" w:hAnsi="Calibri" w:asciiTheme="minorHAnsi" w:hAnsiTheme="minorHAnsi"/>
        <w:b/>
        <w:color w:themeColor="text1" w:themeTint="80" w:val="7F7F7F"/>
        <w:sz w:val="20"/>
        <w:szCs w:val="22"/>
      </w:rPr>
      <w:t>Glasgow (UK), 31</w:t>
    </w:r>
    <w:r>
      <w:rPr>
        <w:rFonts w:cs="Times New Roman" w:ascii="Calibri" w:hAnsi="Calibri" w:asciiTheme="minorHAnsi" w:hAnsiTheme="minorHAnsi"/>
        <w:b/>
        <w:color w:themeColor="text1" w:themeTint="80" w:val="7F7F7F"/>
        <w:sz w:val="20"/>
        <w:szCs w:val="22"/>
        <w:vertAlign w:val="superscript"/>
      </w:rPr>
      <w:t>th</w:t>
    </w:r>
    <w:r>
      <w:rPr>
        <w:rFonts w:cs="Times New Roman" w:ascii="Calibri" w:hAnsi="Calibri" w:asciiTheme="minorHAnsi" w:hAnsiTheme="minorHAnsi"/>
        <w:b/>
        <w:color w:themeColor="text1" w:themeTint="80" w:val="7F7F7F"/>
        <w:sz w:val="20"/>
        <w:szCs w:val="22"/>
      </w:rPr>
      <w:t xml:space="preserve"> August – 4</w:t>
    </w:r>
    <w:r>
      <w:rPr>
        <w:rFonts w:cs="Times New Roman" w:ascii="Calibri" w:hAnsi="Calibri" w:asciiTheme="minorHAnsi" w:hAnsiTheme="minorHAnsi"/>
        <w:b/>
        <w:color w:themeColor="text1" w:themeTint="80" w:val="7F7F7F"/>
        <w:sz w:val="20"/>
        <w:szCs w:val="22"/>
        <w:vertAlign w:val="superscript"/>
      </w:rPr>
      <w:t>th</w:t>
    </w:r>
    <w:r>
      <w:rPr>
        <w:rFonts w:cs="Times New Roman" w:ascii="Calibri" w:hAnsi="Calibri" w:asciiTheme="minorHAnsi" w:hAnsiTheme="minorHAnsi"/>
        <w:b/>
        <w:color w:themeColor="text1" w:themeTint="80" w:val="7F7F7F"/>
        <w:sz w:val="20"/>
        <w:szCs w:val="22"/>
      </w:rPr>
      <w:t xml:space="preserve"> September, 2026</w:t>
    </w:r>
  </w:p>
</w:hdr>
</file>

<file path=word/settings.xml><?xml version="1.0" encoding="utf-8"?>
<w:settings xmlns:w="http://schemas.openxmlformats.org/wordprocessingml/2006/main">
  <w:zoom w:percent="100"/>
  <w:embedSystemFonts/>
  <w:defaultTabStop w:val="708"/>
  <w:autoHyphenation w:val="true"/>
  <w:doNotHyphenateCaps/>
  <w:hyphenationZone w:val="425"/>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GB" w:eastAsia="en-GB"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before="0" w:after="0"/>
      <w:jc w:val="both"/>
    </w:pPr>
    <w:rPr>
      <w:rFonts w:ascii="Palatino" w:hAnsi="Palatino" w:eastAsia="MS Mincho" w:cs="Palatino"/>
      <w:color w:val="000000"/>
      <w:kern w:val="0"/>
      <w:sz w:val="24"/>
      <w:szCs w:val="24"/>
      <w:lang w:val="en-US" w:eastAsia="ja-JP" w:bidi="ar-SA"/>
    </w:rPr>
  </w:style>
  <w:style w:type="character" w:styleId="DefaultParagraphFont" w:default="1">
    <w:name w:val="Default Paragraph Font"/>
    <w:uiPriority w:val="1"/>
    <w:unhideWhenUsed/>
    <w:qFormat/>
    <w:rPr/>
  </w:style>
  <w:style w:type="character" w:styleId="Hyperlink">
    <w:name w:val="Hyperlink"/>
    <w:basedOn w:val="DefaultParagraphFont"/>
    <w:uiPriority w:val="99"/>
    <w:rPr>
      <w:rFonts w:ascii="Times New Roman" w:hAnsi="Times New Roman" w:cs="Times New Roman"/>
      <w:color w:val="0000FF"/>
      <w:u w:val="single"/>
    </w:rPr>
  </w:style>
  <w:style w:type="character" w:styleId="BodyText2Char" w:customStyle="1">
    <w:name w:val="Body Text 2 Char"/>
    <w:basedOn w:val="DefaultParagraphFont"/>
    <w:link w:val="BodyText2"/>
    <w:uiPriority w:val="99"/>
    <w:semiHidden/>
    <w:qFormat/>
    <w:locked/>
    <w:rPr>
      <w:rFonts w:ascii="Palatino" w:hAnsi="Palatino" w:eastAsia="MS Mincho" w:cs="Palatino"/>
      <w:color w:val="000000"/>
      <w:sz w:val="24"/>
      <w:szCs w:val="24"/>
      <w:lang w:val="en-US" w:eastAsia="ja-JP"/>
    </w:rPr>
  </w:style>
  <w:style w:type="character" w:styleId="PlainTextChar" w:customStyle="1">
    <w:name w:val="Plain Text Char"/>
    <w:basedOn w:val="DefaultParagraphFont"/>
    <w:link w:val="PlainText"/>
    <w:uiPriority w:val="99"/>
    <w:semiHidden/>
    <w:qFormat/>
    <w:locked/>
    <w:rPr>
      <w:rFonts w:ascii="Courier New" w:hAnsi="Courier New" w:eastAsia="MS Mincho" w:cs="Courier New"/>
      <w:color w:val="000000"/>
      <w:lang w:val="en-US" w:eastAsia="ja-JP"/>
    </w:rPr>
  </w:style>
  <w:style w:type="character" w:styleId="BodyTextIndent2Char" w:customStyle="1">
    <w:name w:val="Body Text Indent 2 Char"/>
    <w:basedOn w:val="DefaultParagraphFont"/>
    <w:link w:val="BodyTextIndent2"/>
    <w:uiPriority w:val="99"/>
    <w:semiHidden/>
    <w:qFormat/>
    <w:locked/>
    <w:rPr>
      <w:rFonts w:ascii="Palatino" w:hAnsi="Palatino" w:eastAsia="MS Mincho" w:cs="Palatino"/>
      <w:color w:val="000000"/>
      <w:sz w:val="24"/>
      <w:szCs w:val="24"/>
      <w:lang w:val="en-US" w:eastAsia="ja-JP"/>
    </w:rPr>
  </w:style>
  <w:style w:type="character" w:styleId="BodyTextIndent3Char" w:customStyle="1">
    <w:name w:val="Body Text Indent 3 Char"/>
    <w:basedOn w:val="DefaultParagraphFont"/>
    <w:link w:val="BodyTextIndent3"/>
    <w:uiPriority w:val="99"/>
    <w:semiHidden/>
    <w:qFormat/>
    <w:locked/>
    <w:rPr>
      <w:rFonts w:ascii="Palatino" w:hAnsi="Palatino" w:eastAsia="MS Mincho" w:cs="Palatino"/>
      <w:color w:val="000000"/>
      <w:sz w:val="16"/>
      <w:szCs w:val="16"/>
      <w:lang w:val="en-US" w:eastAsia="ja-JP"/>
    </w:rPr>
  </w:style>
  <w:style w:type="character" w:styleId="HeaderChar" w:customStyle="1">
    <w:name w:val="Header Char"/>
    <w:basedOn w:val="DefaultParagraphFont"/>
    <w:link w:val="Header"/>
    <w:uiPriority w:val="99"/>
    <w:semiHidden/>
    <w:qFormat/>
    <w:locked/>
    <w:rPr>
      <w:rFonts w:ascii="Palatino" w:hAnsi="Palatino" w:eastAsia="MS Mincho" w:cs="Palatino"/>
      <w:color w:val="000000"/>
      <w:sz w:val="24"/>
      <w:szCs w:val="24"/>
      <w:lang w:val="en-US" w:eastAsia="ja-JP"/>
    </w:rPr>
  </w:style>
  <w:style w:type="character" w:styleId="FooterChar" w:customStyle="1">
    <w:name w:val="Footer Char"/>
    <w:basedOn w:val="DefaultParagraphFont"/>
    <w:link w:val="Footer"/>
    <w:uiPriority w:val="99"/>
    <w:semiHidden/>
    <w:qFormat/>
    <w:locked/>
    <w:rPr>
      <w:rFonts w:ascii="Palatino" w:hAnsi="Palatino" w:eastAsia="MS Mincho" w:cs="Palatino"/>
      <w:color w:val="000000"/>
      <w:sz w:val="24"/>
      <w:szCs w:val="24"/>
      <w:lang w:val="en-US" w:eastAsia="ja-JP"/>
    </w:rPr>
  </w:style>
  <w:style w:type="character" w:styleId="PageNumber">
    <w:name w:val="Page Number"/>
    <w:basedOn w:val="DefaultParagraphFont"/>
    <w:uiPriority w:val="99"/>
    <w:rsid w:val="00e4528e"/>
    <w:rPr>
      <w:rFonts w:cs="Times New Roman"/>
    </w:rPr>
  </w:style>
  <w:style w:type="character" w:styleId="UnresolvedMention">
    <w:name w:val="Unresolved Mention"/>
    <w:basedOn w:val="DefaultParagraphFont"/>
    <w:uiPriority w:val="99"/>
    <w:semiHidden/>
    <w:unhideWhenUsed/>
    <w:qFormat/>
    <w:rsid w:val="00274257"/>
    <w:rPr>
      <w:rFonts w:cs="Times New Roman"/>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odyText2">
    <w:name w:val="Body Text 2"/>
    <w:basedOn w:val="Normal"/>
    <w:link w:val="BodyText2Char"/>
    <w:uiPriority w:val="99"/>
    <w:qFormat/>
    <w:pPr>
      <w:ind w:firstLine="284"/>
    </w:pPr>
    <w:rPr>
      <w:sz w:val="22"/>
      <w:szCs w:val="22"/>
    </w:rPr>
  </w:style>
  <w:style w:type="paragraph" w:styleId="PlainText">
    <w:name w:val="Plain Text"/>
    <w:basedOn w:val="Normal"/>
    <w:link w:val="PlainTextChar"/>
    <w:uiPriority w:val="99"/>
    <w:qFormat/>
    <w:pPr>
      <w:jc w:val="left"/>
    </w:pPr>
    <w:rPr>
      <w:rFonts w:ascii="Courier New" w:hAnsi="Courier New" w:cs="Courier New"/>
      <w:color w:val="auto"/>
      <w:sz w:val="20"/>
      <w:szCs w:val="20"/>
    </w:rPr>
  </w:style>
  <w:style w:type="paragraph" w:styleId="BodyTextIndent2">
    <w:name w:val="Body Text Indent 2"/>
    <w:basedOn w:val="Normal"/>
    <w:link w:val="BodyTextIndent2Char"/>
    <w:uiPriority w:val="99"/>
    <w:qFormat/>
    <w:pPr>
      <w:ind w:firstLine="284"/>
      <w:jc w:val="left"/>
    </w:pPr>
    <w:rPr>
      <w:b/>
      <w:bCs/>
      <w:sz w:val="22"/>
      <w:szCs w:val="22"/>
    </w:rPr>
  </w:style>
  <w:style w:type="paragraph" w:styleId="BodyTextIndent3">
    <w:name w:val="Body Text Indent 3"/>
    <w:basedOn w:val="Normal"/>
    <w:link w:val="BodyTextIndent3Char"/>
    <w:uiPriority w:val="99"/>
    <w:qFormat/>
    <w:pPr>
      <w:ind w:firstLine="284"/>
    </w:pPr>
    <w:rPr>
      <w:rFonts w:ascii="Times New Roman" w:hAnsi="Times New Roman" w:cs="Times New Roman"/>
      <w:b/>
      <w:bCs/>
      <w:sz w:val="22"/>
      <w:szCs w:val="22"/>
    </w:rPr>
  </w:style>
  <w:style w:type="paragraph" w:styleId="HeaderandFooter">
    <w:name w:val="Header and Footer"/>
    <w:basedOn w:val="Normal"/>
    <w:qFormat/>
    <w:pPr/>
    <w:rPr/>
  </w:style>
  <w:style w:type="paragraph" w:styleId="Header">
    <w:name w:val="Header"/>
    <w:basedOn w:val="Normal"/>
    <w:link w:val="HeaderChar"/>
    <w:uiPriority w:val="99"/>
    <w:rsid w:val="00e4528e"/>
    <w:pPr>
      <w:tabs>
        <w:tab w:val="clear" w:pos="708"/>
        <w:tab w:val="center" w:pos="4320" w:leader="none"/>
        <w:tab w:val="right" w:pos="8640" w:leader="none"/>
      </w:tabs>
    </w:pPr>
    <w:rPr/>
  </w:style>
  <w:style w:type="paragraph" w:styleId="Footer">
    <w:name w:val="Footer"/>
    <w:basedOn w:val="Normal"/>
    <w:link w:val="FooterChar"/>
    <w:uiPriority w:val="99"/>
    <w:rsid w:val="00e4528e"/>
    <w:pPr>
      <w:tabs>
        <w:tab w:val="clear" w:pos="708"/>
        <w:tab w:val="center" w:pos="4320" w:leader="none"/>
        <w:tab w:val="right" w:pos="8640" w:leader="none"/>
      </w:tab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ydawer@uni-bonn.de"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TotalTime>
  <Application>LibreOffice/24.2.7.2$Linux_X86_64 LibreOffice_project/420$Build-2</Application>
  <AppVersion>15.0000</AppVersion>
  <Pages>1</Pages>
  <Words>441</Words>
  <Characters>2688</Characters>
  <CharactersWithSpaces>3128</CharactersWithSpaces>
  <Paragraphs>14</Paragraphs>
  <Company>ICPM-6</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2026-06-16T08:49:00Z</dcterms:created>
  <dc:creator>ICPM-6</dc:creator>
  <dc:description/>
  <dc:language>en-US</dc:language>
  <cp:lastModifiedBy/>
  <cp:lastPrinted>2016-01-14T19:34:00Z</cp:lastPrinted>
  <dcterms:modified xsi:type="dcterms:W3CDTF">2026-06-16T10:55:57Z</dcterms:modified>
  <cp:revision>6</cp:revision>
  <dc:subject/>
  <dc:title>Abstract Template for 6th International Conference on</dc:title>
</cp:coreProperties>
</file>

<file path=docProps/custom.xml><?xml version="1.0" encoding="utf-8"?>
<Properties xmlns="http://schemas.openxmlformats.org/officeDocument/2006/custom-properties" xmlns:vt="http://schemas.openxmlformats.org/officeDocument/2006/docPropsVTypes"/>
</file>