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CA678" w14:textId="584053F7" w:rsidR="000C2BB9" w:rsidRPr="002A78C0" w:rsidRDefault="002A78C0" w:rsidP="002A78C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Li-ion Transport Related to LiTFSA Cluster Size in Localized High-Concentration Electrolytes</w:t>
      </w:r>
      <w:r w:rsidR="007D3797">
        <w:rPr>
          <w:rFonts w:ascii="Times New Roman" w:hAnsi="Times New Roman" w:cs="Times New Roman"/>
          <w:b/>
          <w:bCs/>
          <w:sz w:val="32"/>
          <w:szCs w:val="32"/>
        </w:rPr>
        <w:t xml:space="preserve"> Using Molecular Dynamics Simulations</w:t>
      </w:r>
    </w:p>
    <w:p w14:paraId="0D109971" w14:textId="1591A1CA" w:rsidR="000E3AE1" w:rsidRPr="000C2BB9" w:rsidRDefault="000E3AE1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F3E2736" w14:textId="39B96A8E" w:rsidR="00455BDA" w:rsidRPr="00B67151" w:rsidRDefault="00B67151">
      <w:pPr>
        <w:jc w:val="center"/>
        <w:rPr>
          <w:rFonts w:ascii="Times New Roman" w:hAnsi="Times New Roman" w:cs="Times New Roman"/>
          <w:b/>
          <w:bCs/>
          <w:vertAlign w:val="superscript"/>
        </w:rPr>
      </w:pPr>
      <w:r w:rsidRPr="00B67151">
        <w:rPr>
          <w:rFonts w:ascii="Times New Roman" w:hAnsi="Times New Roman" w:cs="Times New Roman"/>
          <w:b/>
          <w:bCs/>
          <w:u w:val="single"/>
          <w:lang w:val="en-GB"/>
        </w:rPr>
        <w:t>Yuki Ito</w:t>
      </w:r>
      <w:r w:rsidR="00455BDA" w:rsidRPr="00B67151">
        <w:rPr>
          <w:rFonts w:ascii="Times New Roman" w:hAnsi="Times New Roman" w:cs="Times New Roman"/>
          <w:b/>
          <w:bCs/>
          <w:u w:val="single"/>
          <w:vertAlign w:val="superscript"/>
          <w:lang w:val="en-GB"/>
        </w:rPr>
        <w:t>1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, </w:t>
      </w:r>
      <w:r>
        <w:rPr>
          <w:rFonts w:ascii="Times New Roman" w:hAnsi="Times New Roman" w:cs="Times New Roman"/>
          <w:b/>
          <w:bCs/>
          <w:lang w:val="en-GB"/>
        </w:rPr>
        <w:t>Taiki Shiba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2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>,</w:t>
      </w:r>
      <w:r>
        <w:rPr>
          <w:rFonts w:ascii="Times New Roman" w:hAnsi="Times New Roman" w:cs="Times New Roman"/>
          <w:b/>
          <w:bCs/>
          <w:lang w:val="en-GB"/>
        </w:rPr>
        <w:t xml:space="preserve"> Kaoru Dokko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2</w:t>
      </w:r>
      <w:r>
        <w:rPr>
          <w:rFonts w:ascii="Times New Roman" w:hAnsi="Times New Roman" w:cs="Times New Roman"/>
          <w:b/>
          <w:bCs/>
          <w:lang w:val="en-GB"/>
        </w:rPr>
        <w:t>, Kazushi Fujimoto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3</w:t>
      </w:r>
    </w:p>
    <w:p w14:paraId="66C06BB3" w14:textId="1CF91F1D" w:rsidR="00B67151" w:rsidRDefault="00455BDA" w:rsidP="00B67151">
      <w:pPr>
        <w:pStyle w:val="p1"/>
        <w:jc w:val="center"/>
        <w:rPr>
          <w:i/>
          <w:iCs/>
          <w:sz w:val="22"/>
          <w:szCs w:val="22"/>
        </w:rPr>
      </w:pPr>
      <w:r w:rsidRPr="00414C25">
        <w:rPr>
          <w:sz w:val="22"/>
          <w:szCs w:val="22"/>
          <w:vertAlign w:val="superscript"/>
          <w:lang w:val="en-GB"/>
        </w:rPr>
        <w:t>1</w:t>
      </w:r>
      <w:r w:rsidR="00B67151" w:rsidRPr="00B67151">
        <w:rPr>
          <w:i/>
          <w:iCs/>
        </w:rPr>
        <w:t xml:space="preserve"> </w:t>
      </w:r>
      <w:r w:rsidR="00B67151" w:rsidRPr="00B67151">
        <w:rPr>
          <w:i/>
          <w:iCs/>
          <w:sz w:val="22"/>
          <w:szCs w:val="22"/>
        </w:rPr>
        <w:t>Department of Chemistry and Materials Engineering, Graduate School of Science and Engineering,</w:t>
      </w:r>
    </w:p>
    <w:p w14:paraId="4843511C" w14:textId="35E49029" w:rsidR="00B67151" w:rsidRPr="00B67151" w:rsidRDefault="00B67151" w:rsidP="00B67151">
      <w:pPr>
        <w:pStyle w:val="p1"/>
        <w:jc w:val="center"/>
        <w:rPr>
          <w:sz w:val="22"/>
          <w:szCs w:val="22"/>
        </w:rPr>
      </w:pPr>
      <w:r w:rsidRPr="00B67151">
        <w:rPr>
          <w:i/>
          <w:iCs/>
          <w:sz w:val="22"/>
          <w:szCs w:val="22"/>
        </w:rPr>
        <w:t>Kansai</w:t>
      </w:r>
      <w:r>
        <w:rPr>
          <w:i/>
          <w:iCs/>
          <w:sz w:val="22"/>
          <w:szCs w:val="22"/>
        </w:rPr>
        <w:t xml:space="preserve"> </w:t>
      </w:r>
      <w:r w:rsidRPr="00B67151">
        <w:rPr>
          <w:i/>
          <w:iCs/>
          <w:sz w:val="22"/>
          <w:szCs w:val="22"/>
        </w:rPr>
        <w:t>University, 3-3-35 Yamate-</w:t>
      </w:r>
      <w:proofErr w:type="spellStart"/>
      <w:r w:rsidRPr="00B67151">
        <w:rPr>
          <w:i/>
          <w:iCs/>
          <w:sz w:val="22"/>
          <w:szCs w:val="22"/>
        </w:rPr>
        <w:t>cho</w:t>
      </w:r>
      <w:proofErr w:type="spellEnd"/>
      <w:r w:rsidRPr="00B67151">
        <w:rPr>
          <w:i/>
          <w:iCs/>
          <w:sz w:val="22"/>
          <w:szCs w:val="22"/>
        </w:rPr>
        <w:t>, Suita, Osaka 564-8680, Japan.</w:t>
      </w:r>
    </w:p>
    <w:p w14:paraId="40BA6B7B" w14:textId="0C293F1A" w:rsidR="00B67151" w:rsidRPr="00B67151" w:rsidRDefault="00B67151" w:rsidP="00B67151">
      <w:pPr>
        <w:pStyle w:val="p1"/>
        <w:jc w:val="center"/>
        <w:rPr>
          <w:sz w:val="22"/>
          <w:szCs w:val="22"/>
        </w:rPr>
      </w:pPr>
      <w:r w:rsidRPr="00B67151">
        <w:rPr>
          <w:rStyle w:val="s1"/>
          <w:i/>
          <w:iCs/>
          <w:sz w:val="22"/>
          <w:szCs w:val="22"/>
          <w:vertAlign w:val="superscript"/>
        </w:rPr>
        <w:t>2</w:t>
      </w:r>
      <w:r w:rsidRPr="00B67151">
        <w:rPr>
          <w:i/>
          <w:iCs/>
          <w:sz w:val="22"/>
          <w:szCs w:val="22"/>
        </w:rPr>
        <w:t xml:space="preserve">Department of Chemistry and Life Science, Yokohama National University, 79-5 </w:t>
      </w:r>
      <w:proofErr w:type="spellStart"/>
      <w:r w:rsidRPr="00B67151">
        <w:rPr>
          <w:i/>
          <w:iCs/>
          <w:sz w:val="22"/>
          <w:szCs w:val="22"/>
        </w:rPr>
        <w:t>Tokiwadai</w:t>
      </w:r>
      <w:proofErr w:type="spellEnd"/>
      <w:r w:rsidRPr="00B67151">
        <w:rPr>
          <w:i/>
          <w:iCs/>
          <w:sz w:val="22"/>
          <w:szCs w:val="22"/>
        </w:rPr>
        <w:t>, Hodogaya-</w:t>
      </w:r>
      <w:proofErr w:type="spellStart"/>
      <w:r w:rsidRPr="00B67151">
        <w:rPr>
          <w:i/>
          <w:iCs/>
          <w:sz w:val="22"/>
          <w:szCs w:val="22"/>
        </w:rPr>
        <w:t>ku</w:t>
      </w:r>
      <w:proofErr w:type="spellEnd"/>
      <w:r w:rsidRPr="00B67151">
        <w:rPr>
          <w:i/>
          <w:iCs/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Pr="00B67151">
        <w:rPr>
          <w:i/>
          <w:iCs/>
          <w:sz w:val="22"/>
          <w:szCs w:val="22"/>
        </w:rPr>
        <w:t>Yokohama 240-8501, Japan.</w:t>
      </w:r>
    </w:p>
    <w:p w14:paraId="5B8D3343" w14:textId="4F2CC845" w:rsidR="00B67151" w:rsidRDefault="00B67151" w:rsidP="00B67151">
      <w:pPr>
        <w:pStyle w:val="p1"/>
        <w:jc w:val="center"/>
        <w:rPr>
          <w:i/>
          <w:iCs/>
          <w:sz w:val="22"/>
          <w:szCs w:val="22"/>
        </w:rPr>
      </w:pPr>
      <w:r>
        <w:rPr>
          <w:rStyle w:val="s1"/>
          <w:i/>
          <w:iCs/>
          <w:sz w:val="22"/>
          <w:szCs w:val="22"/>
          <w:vertAlign w:val="superscript"/>
        </w:rPr>
        <w:t>3</w:t>
      </w:r>
      <w:r w:rsidRPr="00B67151">
        <w:rPr>
          <w:i/>
          <w:iCs/>
          <w:sz w:val="22"/>
          <w:szCs w:val="22"/>
        </w:rPr>
        <w:t>Department of Chemistry and Materials Engineering, Faculty of Chemistry, Materials and</w:t>
      </w:r>
    </w:p>
    <w:p w14:paraId="7E3A9E27" w14:textId="21A957E7" w:rsidR="00455BDA" w:rsidRPr="00B67151" w:rsidRDefault="00B67151" w:rsidP="00B67151">
      <w:pPr>
        <w:pStyle w:val="p1"/>
        <w:jc w:val="center"/>
        <w:rPr>
          <w:sz w:val="22"/>
          <w:szCs w:val="22"/>
        </w:rPr>
      </w:pPr>
      <w:r w:rsidRPr="00B67151">
        <w:rPr>
          <w:i/>
          <w:iCs/>
          <w:sz w:val="22"/>
          <w:szCs w:val="22"/>
        </w:rPr>
        <w:t>Bioengineering,</w:t>
      </w:r>
      <w:r>
        <w:rPr>
          <w:sz w:val="22"/>
          <w:szCs w:val="22"/>
        </w:rPr>
        <w:t xml:space="preserve"> </w:t>
      </w:r>
      <w:r w:rsidRPr="00B67151">
        <w:rPr>
          <w:i/>
          <w:iCs/>
          <w:sz w:val="22"/>
          <w:szCs w:val="22"/>
        </w:rPr>
        <w:t>Kansai University, 3-3-35 Yamate-</w:t>
      </w:r>
      <w:proofErr w:type="spellStart"/>
      <w:r w:rsidRPr="00B67151">
        <w:rPr>
          <w:i/>
          <w:iCs/>
          <w:sz w:val="22"/>
          <w:szCs w:val="22"/>
        </w:rPr>
        <w:t>cho</w:t>
      </w:r>
      <w:proofErr w:type="spellEnd"/>
      <w:r w:rsidRPr="00B67151">
        <w:rPr>
          <w:i/>
          <w:iCs/>
          <w:sz w:val="22"/>
          <w:szCs w:val="22"/>
        </w:rPr>
        <w:t>, Suita, Osaka 564-8680, Japan.</w:t>
      </w:r>
    </w:p>
    <w:p w14:paraId="02844AB1" w14:textId="645E9795" w:rsidR="0085659C" w:rsidRDefault="0085659C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e-mail: </w:t>
      </w:r>
      <w:r w:rsidR="00B67151">
        <w:rPr>
          <w:rFonts w:ascii="Times New Roman" w:hAnsi="Times New Roman" w:cs="Times New Roman"/>
          <w:sz w:val="22"/>
          <w:szCs w:val="22"/>
          <w:lang w:val="en-GB"/>
        </w:rPr>
        <w:t>k-fuji@kansai-u.ac.jp</w:t>
      </w:r>
    </w:p>
    <w:p w14:paraId="1BCA6FDF" w14:textId="408300E9" w:rsidR="000E3AE1" w:rsidRDefault="000E3AE1" w:rsidP="006A41DD">
      <w:pPr>
        <w:autoSpaceDE/>
        <w:autoSpaceDN/>
        <w:jc w:val="left"/>
        <w:rPr>
          <w:rFonts w:ascii="Times New Roman" w:eastAsia="Times New Roman" w:hAnsi="Times New Roman" w:cs="Times New Roman"/>
          <w:color w:val="auto"/>
          <w:lang w:val="en-GB" w:eastAsia="en-GB"/>
        </w:rPr>
      </w:pPr>
      <w:r>
        <w:rPr>
          <w:rFonts w:ascii="Times New Roman" w:eastAsia="Times New Roman" w:hAnsi="Times New Roman" w:cs="Times New Roman"/>
          <w:noProof/>
          <w:color w:val="auto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F9BA1C" wp14:editId="41F0D69E">
                <wp:simplePos x="0" y="0"/>
                <wp:positionH relativeFrom="column">
                  <wp:posOffset>3452710</wp:posOffset>
                </wp:positionH>
                <wp:positionV relativeFrom="paragraph">
                  <wp:posOffset>167005</wp:posOffset>
                </wp:positionV>
                <wp:extent cx="2529205" cy="1915160"/>
                <wp:effectExtent l="0" t="0" r="10795" b="15240"/>
                <wp:wrapSquare wrapText="bothSides"/>
                <wp:docPr id="951591486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9205" cy="1915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DF200B" w14:textId="3DF17A10" w:rsidR="000E3AE1" w:rsidRDefault="000E3AE1">
                            <w:r w:rsidRPr="00DE0FE6">
                              <w:rPr>
                                <w:noProof/>
                              </w:rPr>
                              <w:drawing>
                                <wp:inline distT="0" distB="0" distL="0" distR="0" wp14:anchorId="032347B2" wp14:editId="5E1447D2">
                                  <wp:extent cx="1159200" cy="1242240"/>
                                  <wp:effectExtent l="0" t="0" r="0" b="2540"/>
                                  <wp:docPr id="1736267053" name="図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36267053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9448" cy="12960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E0FE6">
                              <w:rPr>
                                <w:noProof/>
                              </w:rPr>
                              <w:drawing>
                                <wp:inline distT="0" distB="0" distL="0" distR="0" wp14:anchorId="73E49B8A" wp14:editId="7332659E">
                                  <wp:extent cx="1117897" cy="1249260"/>
                                  <wp:effectExtent l="0" t="0" r="0" b="0"/>
                                  <wp:docPr id="1162332464" name="図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2332464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5244" cy="12909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F9BA1C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271.85pt;margin-top:13.15pt;width:199.15pt;height:15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" fillcolor="white [3201]" strokeweight=".5pt">
                <v:textbox>
                  <w:txbxContent>
                    <w:p w14:paraId="03DF200B" w14:textId="3DF17A10" w:rsidR="000E3AE1" w:rsidRDefault="000E3AE1">
                      <w:r w:rsidRPr="00DE0FE6">
                        <w:rPr>
                          <w:noProof/>
                        </w:rPr>
                        <w:drawing>
                          <wp:inline distT="0" distB="0" distL="0" distR="0" wp14:anchorId="032347B2" wp14:editId="5E1447D2">
                            <wp:extent cx="1159200" cy="1242240"/>
                            <wp:effectExtent l="0" t="0" r="0" b="2540"/>
                            <wp:docPr id="1736267053" name="図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36267053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9448" cy="129608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E0FE6">
                        <w:rPr>
                          <w:noProof/>
                        </w:rPr>
                        <w:drawing>
                          <wp:inline distT="0" distB="0" distL="0" distR="0" wp14:anchorId="73E49B8A" wp14:editId="7332659E">
                            <wp:extent cx="1117897" cy="1249260"/>
                            <wp:effectExtent l="0" t="0" r="0" b="0"/>
                            <wp:docPr id="1162332464" name="図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2332464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5244" cy="12909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FD2F67" w14:textId="1D9937B2" w:rsidR="000C2BB9" w:rsidRPr="008309B6" w:rsidRDefault="000C2BB9" w:rsidP="000C2BB9">
      <w:pPr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66313F" wp14:editId="2F2D162F">
                <wp:simplePos x="0" y="0"/>
                <wp:positionH relativeFrom="column">
                  <wp:posOffset>3483040</wp:posOffset>
                </wp:positionH>
                <wp:positionV relativeFrom="paragraph">
                  <wp:posOffset>1284640</wp:posOffset>
                </wp:positionV>
                <wp:extent cx="2436229" cy="604800"/>
                <wp:effectExtent l="0" t="0" r="2540" b="5080"/>
                <wp:wrapNone/>
                <wp:docPr id="157214115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6229" cy="6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B28F91" w14:textId="593A6DF7" w:rsidR="000E3AE1" w:rsidRPr="000E3AE1" w:rsidRDefault="000E3AE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61348E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>Figure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r w:rsidRPr="00367436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>Cluster-</w:t>
                            </w:r>
                            <w:proofErr w:type="spellStart"/>
                            <w:r w:rsidRPr="00367436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>colored</w:t>
                            </w:r>
                            <w:proofErr w:type="spellEnd"/>
                            <w:r w:rsidRPr="00367436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 xml:space="preserve"> snapshots of the </w:t>
                            </w:r>
                            <w:proofErr w:type="spellStart"/>
                            <w:r w:rsidRPr="00367436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>nBME</w:t>
                            </w:r>
                            <w:proofErr w:type="spellEnd"/>
                            <w:r w:rsidRPr="00367436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 xml:space="preserve"> system (left) and </w:t>
                            </w:r>
                            <w:proofErr w:type="spellStart"/>
                            <w:r w:rsidRPr="00367436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>tBME</w:t>
                            </w:r>
                            <w:proofErr w:type="spellEnd"/>
                            <w:r w:rsidRPr="00367436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 xml:space="preserve"> system (right).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6313F" id="テキスト ボックス 2" o:spid="_x0000_s1027" type="#_x0000_t202" style="position:absolute;left:0;text-align:left;margin-left:274.25pt;margin-top:101.15pt;width:191.85pt;height:47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" fillcolor="white [3201]" stroked="f" strokeweight=".5pt">
                <v:textbox>
                  <w:txbxContent>
                    <w:p w14:paraId="2CB28F91" w14:textId="593A6DF7" w:rsidR="000E3AE1" w:rsidRPr="000E3AE1" w:rsidRDefault="000E3AE1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</w:pPr>
                      <w:r w:rsidRPr="0061348E">
                        <w:rPr>
                          <w:rFonts w:ascii="Times New Roman" w:hAnsi="Times New Roman" w:cs="Times New Roman"/>
                          <w:b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>Figure 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 w:rsidRPr="00367436">
                        <w:rPr>
                          <w:rFonts w:ascii="Times New Roman" w:hAnsi="Times New Roman" w:cs="Times New Roman"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>Cluster-</w:t>
                      </w:r>
                      <w:proofErr w:type="spellStart"/>
                      <w:r w:rsidRPr="00367436">
                        <w:rPr>
                          <w:rFonts w:ascii="Times New Roman" w:hAnsi="Times New Roman" w:cs="Times New Roman"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>colored</w:t>
                      </w:r>
                      <w:proofErr w:type="spellEnd"/>
                      <w:r w:rsidRPr="00367436">
                        <w:rPr>
                          <w:rFonts w:ascii="Times New Roman" w:hAnsi="Times New Roman" w:cs="Times New Roman"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 xml:space="preserve"> snapshots of the </w:t>
                      </w:r>
                      <w:proofErr w:type="spellStart"/>
                      <w:r w:rsidRPr="00367436">
                        <w:rPr>
                          <w:rFonts w:ascii="Times New Roman" w:hAnsi="Times New Roman" w:cs="Times New Roman"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>nBME</w:t>
                      </w:r>
                      <w:proofErr w:type="spellEnd"/>
                      <w:r w:rsidRPr="00367436">
                        <w:rPr>
                          <w:rFonts w:ascii="Times New Roman" w:hAnsi="Times New Roman" w:cs="Times New Roman"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 xml:space="preserve"> system (left) and </w:t>
                      </w:r>
                      <w:proofErr w:type="spellStart"/>
                      <w:r w:rsidRPr="00367436">
                        <w:rPr>
                          <w:rFonts w:ascii="Times New Roman" w:hAnsi="Times New Roman" w:cs="Times New Roman"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>tBME</w:t>
                      </w:r>
                      <w:proofErr w:type="spellEnd"/>
                      <w:r w:rsidRPr="00367436">
                        <w:rPr>
                          <w:rFonts w:ascii="Times New Roman" w:hAnsi="Times New Roman" w:cs="Times New Roman"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 xml:space="preserve"> system (right).</w:t>
                      </w:r>
                    </w:p>
                  </w:txbxContent>
                </v:textbox>
              </v:shape>
            </w:pict>
          </mc:Fallback>
        </mc:AlternateContent>
      </w:r>
      <w:r w:rsidR="008309B6">
        <w:rPr>
          <w:rFonts w:ascii="Times New Roman" w:hAnsi="Times New Roman"/>
        </w:rPr>
        <w:t>Efficient Li</w:t>
      </w:r>
      <w:r w:rsidR="008309B6">
        <w:rPr>
          <w:rFonts w:ascii="Times New Roman" w:hAnsi="Times New Roman"/>
          <w:vertAlign w:val="superscript"/>
        </w:rPr>
        <w:t>+</w:t>
      </w:r>
      <w:r w:rsidR="008309B6">
        <w:rPr>
          <w:rFonts w:ascii="Times New Roman" w:hAnsi="Times New Roman"/>
        </w:rPr>
        <w:t xml:space="preserve"> transport is essential for the performance of lithium batteries.</w:t>
      </w:r>
      <w:r w:rsidRPr="000C2BB9">
        <w:rPr>
          <w:rFonts w:ascii="Times New Roman" w:hAnsi="Times New Roman"/>
        </w:rPr>
        <w:t xml:space="preserve"> </w:t>
      </w:r>
      <w:r w:rsidR="008309B6">
        <w:rPr>
          <w:rFonts w:ascii="Times New Roman" w:hAnsi="Times New Roman"/>
        </w:rPr>
        <w:t>L</w:t>
      </w:r>
      <w:r w:rsidRPr="000C2BB9">
        <w:rPr>
          <w:rFonts w:ascii="Times New Roman" w:hAnsi="Times New Roman"/>
        </w:rPr>
        <w:t>ocalized high-concentration electrolytes (LHCEs)</w:t>
      </w:r>
      <w:r w:rsidR="008309B6">
        <w:rPr>
          <w:rFonts w:ascii="Times New Roman" w:hAnsi="Times New Roman"/>
        </w:rPr>
        <w:t xml:space="preserve"> exhibit heterogeneous salt-rich and diluent-rich regions. </w:t>
      </w:r>
      <w:r w:rsidRPr="000C2BB9">
        <w:rPr>
          <w:rFonts w:ascii="Times New Roman" w:hAnsi="Times New Roman"/>
        </w:rPr>
        <w:t>Th</w:t>
      </w:r>
      <w:r w:rsidR="008309B6">
        <w:rPr>
          <w:rFonts w:ascii="Times New Roman" w:hAnsi="Times New Roman"/>
        </w:rPr>
        <w:t>erefore</w:t>
      </w:r>
      <w:r w:rsidRPr="000C2BB9">
        <w:rPr>
          <w:rFonts w:ascii="Times New Roman" w:hAnsi="Times New Roman"/>
        </w:rPr>
        <w:t>,</w:t>
      </w:r>
      <w:r w:rsidR="008309B6">
        <w:rPr>
          <w:rFonts w:ascii="Times New Roman" w:hAnsi="Times New Roman"/>
        </w:rPr>
        <w:t xml:space="preserve"> clarifying how this heterogeneous structure affects Li</w:t>
      </w:r>
      <w:r w:rsidR="008309B6">
        <w:rPr>
          <w:rFonts w:ascii="Times New Roman" w:hAnsi="Times New Roman"/>
          <w:vertAlign w:val="superscript"/>
        </w:rPr>
        <w:t>+</w:t>
      </w:r>
      <w:r w:rsidR="008309B6">
        <w:rPr>
          <w:rFonts w:ascii="Times New Roman" w:hAnsi="Times New Roman"/>
        </w:rPr>
        <w:t xml:space="preserve"> diffusion is important for understanding Li</w:t>
      </w:r>
      <w:r w:rsidR="008309B6">
        <w:rPr>
          <w:rFonts w:ascii="Times New Roman" w:hAnsi="Times New Roman"/>
          <w:vertAlign w:val="superscript"/>
        </w:rPr>
        <w:t>+</w:t>
      </w:r>
      <w:r w:rsidR="008309B6">
        <w:rPr>
          <w:rFonts w:ascii="Times New Roman" w:hAnsi="Times New Roman"/>
        </w:rPr>
        <w:t xml:space="preserve"> transport in LHCEs.</w:t>
      </w:r>
    </w:p>
    <w:p w14:paraId="07E21D37" w14:textId="7A94273C" w:rsidR="000C2BB9" w:rsidRDefault="000C2BB9" w:rsidP="000C2BB9">
      <w:pPr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noProof/>
          <w:color w:val="auto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CDDD87" wp14:editId="0846190D">
                <wp:simplePos x="0" y="0"/>
                <wp:positionH relativeFrom="column">
                  <wp:posOffset>3758202</wp:posOffset>
                </wp:positionH>
                <wp:positionV relativeFrom="paragraph">
                  <wp:posOffset>853440</wp:posOffset>
                </wp:positionV>
                <wp:extent cx="2221230" cy="3481070"/>
                <wp:effectExtent l="0" t="0" r="13970" b="11430"/>
                <wp:wrapSquare wrapText="bothSides"/>
                <wp:docPr id="499556697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30" cy="3481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79E6BF" w14:textId="610CCA7A" w:rsidR="00720F4A" w:rsidRDefault="00883592" w:rsidP="00720F4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C09146" wp14:editId="2D6D7EEA">
                                  <wp:extent cx="2010347" cy="1273684"/>
                                  <wp:effectExtent l="0" t="0" r="0" b="0"/>
                                  <wp:docPr id="1453578997" name="図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8385494" name=""/>
                                          <pic:cNvPicPr/>
                                        </pic:nvPicPr>
                                        <pic:blipFill rotWithShape="1">
                                          <a:blip r:embed="rId11"/>
                                          <a:srcRect l="377" r="-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0411" cy="12927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5D5AECB" w14:textId="3F0C092A" w:rsidR="00720F4A" w:rsidRDefault="00883592" w:rsidP="00720F4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C85CC2" wp14:editId="4B352276">
                                  <wp:extent cx="2009775" cy="1278243"/>
                                  <wp:effectExtent l="0" t="0" r="0" b="5080"/>
                                  <wp:docPr id="336439676" name="図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6016805" name=""/>
                                          <pic:cNvPicPr/>
                                        </pic:nvPicPr>
                                        <pic:blipFill rotWithShape="1">
                                          <a:blip r:embed="rId12"/>
                                          <a:srcRect r="74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16423" cy="12824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DDD87" id="_x0000_s1028" type="#_x0000_t202" style="position:absolute;left:0;text-align:left;margin-left:295.9pt;margin-top:67.2pt;width:174.9pt;height:274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" fillcolor="white [3201]" strokeweight=".5pt">
                <v:textbox>
                  <w:txbxContent>
                    <w:p w14:paraId="4A79E6BF" w14:textId="610CCA7A" w:rsidR="00720F4A" w:rsidRDefault="00883592" w:rsidP="00720F4A">
                      <w:r>
                        <w:rPr>
                          <w:noProof/>
                        </w:rPr>
                        <w:drawing>
                          <wp:inline distT="0" distB="0" distL="0" distR="0" wp14:anchorId="42C09146" wp14:editId="2D6D7EEA">
                            <wp:extent cx="2010347" cy="1273684"/>
                            <wp:effectExtent l="0" t="0" r="0" b="0"/>
                            <wp:docPr id="1453578997" name="図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8385494" name=""/>
                                    <pic:cNvPicPr/>
                                  </pic:nvPicPr>
                                  <pic:blipFill rotWithShape="1">
                                    <a:blip r:embed="rId13"/>
                                    <a:srcRect l="377" r="-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0411" cy="129273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5D5AECB" w14:textId="3F0C092A" w:rsidR="00720F4A" w:rsidRDefault="00883592" w:rsidP="00720F4A">
                      <w:r>
                        <w:rPr>
                          <w:noProof/>
                        </w:rPr>
                        <w:drawing>
                          <wp:inline distT="0" distB="0" distL="0" distR="0" wp14:anchorId="4BC85CC2" wp14:editId="4B352276">
                            <wp:extent cx="2009775" cy="1278243"/>
                            <wp:effectExtent l="0" t="0" r="0" b="5080"/>
                            <wp:docPr id="336439676" name="図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6016805" name=""/>
                                    <pic:cNvPicPr/>
                                  </pic:nvPicPr>
                                  <pic:blipFill rotWithShape="1">
                                    <a:blip r:embed="rId14"/>
                                    <a:srcRect r="74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16423" cy="128247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C2BB9">
        <w:rPr>
          <w:rFonts w:ascii="Times New Roman" w:hAnsi="Times New Roman"/>
        </w:rPr>
        <w:t>In our previous study, we investigated an LHCE composed of FEC</w:t>
      </w:r>
      <w:r w:rsidR="008309B6">
        <w:rPr>
          <w:rFonts w:ascii="Times New Roman" w:hAnsi="Times New Roman"/>
        </w:rPr>
        <w:t xml:space="preserve"> (solvent)</w:t>
      </w:r>
      <w:r w:rsidRPr="000C2BB9">
        <w:rPr>
          <w:rFonts w:ascii="Times New Roman" w:hAnsi="Times New Roman"/>
        </w:rPr>
        <w:t xml:space="preserve">, </w:t>
      </w:r>
      <w:r w:rsidR="008309B6">
        <w:rPr>
          <w:rFonts w:ascii="Times New Roman" w:hAnsi="Times New Roman"/>
        </w:rPr>
        <w:t>TTE (diluent)</w:t>
      </w:r>
      <w:r w:rsidRPr="000C2BB9">
        <w:rPr>
          <w:rFonts w:ascii="Times New Roman" w:hAnsi="Times New Roman"/>
        </w:rPr>
        <w:t>, and LiTFSA</w:t>
      </w:r>
      <w:r w:rsidR="008309B6">
        <w:rPr>
          <w:rFonts w:ascii="Times New Roman" w:hAnsi="Times New Roman"/>
        </w:rPr>
        <w:t xml:space="preserve"> (salt)</w:t>
      </w:r>
      <w:r w:rsidRPr="000C2BB9">
        <w:rPr>
          <w:rFonts w:ascii="Times New Roman" w:hAnsi="Times New Roman"/>
        </w:rPr>
        <w:t xml:space="preserve">, and showed that Li⁺ species in diluent-rich regions significantly contribute to the overall Li⁺ transport [1]. In this study, we examined two LHCEs composed of FEC, LiTFSA, and either </w:t>
      </w:r>
      <w:proofErr w:type="spellStart"/>
      <w:r w:rsidRPr="000C2BB9">
        <w:rPr>
          <w:rFonts w:ascii="Times New Roman" w:hAnsi="Times New Roman"/>
        </w:rPr>
        <w:t>nBME</w:t>
      </w:r>
      <w:proofErr w:type="spellEnd"/>
      <w:r w:rsidRPr="000C2BB9">
        <w:rPr>
          <w:rFonts w:ascii="Times New Roman" w:hAnsi="Times New Roman"/>
        </w:rPr>
        <w:t xml:space="preserve"> or </w:t>
      </w:r>
      <w:proofErr w:type="spellStart"/>
      <w:r w:rsidRPr="000C2BB9">
        <w:rPr>
          <w:rFonts w:ascii="Times New Roman" w:hAnsi="Times New Roman"/>
        </w:rPr>
        <w:t>tBME</w:t>
      </w:r>
      <w:proofErr w:type="spellEnd"/>
      <w:r w:rsidR="008309B6">
        <w:rPr>
          <w:rFonts w:ascii="Times New Roman" w:hAnsi="Times New Roman"/>
        </w:rPr>
        <w:t xml:space="preserve"> as </w:t>
      </w:r>
      <w:r w:rsidR="00274BEC">
        <w:rPr>
          <w:rFonts w:ascii="Times New Roman" w:hAnsi="Times New Roman"/>
        </w:rPr>
        <w:t xml:space="preserve">the </w:t>
      </w:r>
      <w:r w:rsidR="008309B6">
        <w:rPr>
          <w:rFonts w:ascii="Times New Roman" w:hAnsi="Times New Roman"/>
        </w:rPr>
        <w:t>diluent</w:t>
      </w:r>
      <w:r w:rsidR="00274BEC">
        <w:rPr>
          <w:rFonts w:ascii="Times New Roman" w:hAnsi="Times New Roman"/>
        </w:rPr>
        <w:t>s</w:t>
      </w:r>
      <w:r w:rsidR="008309B6">
        <w:rPr>
          <w:rFonts w:ascii="Times New Roman" w:hAnsi="Times New Roman"/>
        </w:rPr>
        <w:t>, focusing on how differences in LiTFSA cluster structures affect Li</w:t>
      </w:r>
      <w:r w:rsidR="008309B6">
        <w:rPr>
          <w:rFonts w:ascii="Times New Roman" w:hAnsi="Times New Roman"/>
          <w:vertAlign w:val="superscript"/>
        </w:rPr>
        <w:t>+</w:t>
      </w:r>
      <w:r w:rsidR="008309B6">
        <w:rPr>
          <w:rFonts w:ascii="Times New Roman" w:hAnsi="Times New Roman"/>
        </w:rPr>
        <w:t xml:space="preserve"> transport.</w:t>
      </w:r>
      <w:r w:rsidRPr="000C2BB9">
        <w:rPr>
          <w:rFonts w:ascii="Times New Roman" w:hAnsi="Times New Roman"/>
        </w:rPr>
        <w:t xml:space="preserve"> The molar ratio was </w:t>
      </w:r>
      <w:proofErr w:type="spellStart"/>
      <w:r w:rsidRPr="000C2BB9">
        <w:rPr>
          <w:rFonts w:ascii="Times New Roman" w:hAnsi="Times New Roman"/>
        </w:rPr>
        <w:t>LiTFSA:</w:t>
      </w:r>
      <w:proofErr w:type="gramStart"/>
      <w:r w:rsidRPr="000C2BB9">
        <w:rPr>
          <w:rFonts w:ascii="Times New Roman" w:hAnsi="Times New Roman"/>
        </w:rPr>
        <w:t>FEC</w:t>
      </w:r>
      <w:r w:rsidR="008309B6">
        <w:rPr>
          <w:rFonts w:ascii="Times New Roman" w:hAnsi="Times New Roman"/>
        </w:rPr>
        <w:t>:BME</w:t>
      </w:r>
      <w:proofErr w:type="spellEnd"/>
      <w:proofErr w:type="gramEnd"/>
      <w:r w:rsidRPr="000C2BB9">
        <w:rPr>
          <w:rFonts w:ascii="Times New Roman" w:hAnsi="Times New Roman"/>
        </w:rPr>
        <w:t xml:space="preserve"> = 1:6:3.7.</w:t>
      </w:r>
    </w:p>
    <w:p w14:paraId="1F6AA189" w14:textId="49A46619" w:rsidR="000C2BB9" w:rsidRPr="00BD3F10" w:rsidRDefault="008214F0" w:rsidP="000C2BB9">
      <w:pPr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331D5F" wp14:editId="26311B2C">
                <wp:simplePos x="0" y="0"/>
                <wp:positionH relativeFrom="column">
                  <wp:posOffset>3829322</wp:posOffset>
                </wp:positionH>
                <wp:positionV relativeFrom="paragraph">
                  <wp:posOffset>1859915</wp:posOffset>
                </wp:positionV>
                <wp:extent cx="2093665" cy="889233"/>
                <wp:effectExtent l="0" t="0" r="1905" b="0"/>
                <wp:wrapNone/>
                <wp:docPr id="90328156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665" cy="889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24326D" w14:textId="287B35CB" w:rsidR="00720F4A" w:rsidRPr="00720F4A" w:rsidRDefault="00720F4A" w:rsidP="00720F4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61348E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 xml:space="preserve">Figure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 xml:space="preserve">2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22"/>
                                <w:szCs w:val="22"/>
                              </w:rPr>
                              <w:t>MSDs of non-clustered Li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22"/>
                                <w:szCs w:val="22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22"/>
                                <w:szCs w:val="22"/>
                              </w:rPr>
                              <w:t>, clustered Li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22"/>
                                <w:szCs w:val="22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22"/>
                                <w:szCs w:val="22"/>
                              </w:rPr>
                              <w:t>, and the average over all Li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22"/>
                                <w:szCs w:val="22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22"/>
                                <w:szCs w:val="22"/>
                              </w:rPr>
                              <w:t xml:space="preserve">. The upper and lower panels correspond to the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22"/>
                                <w:szCs w:val="22"/>
                              </w:rPr>
                              <w:t>nBME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22"/>
                                <w:szCs w:val="22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22"/>
                                <w:szCs w:val="22"/>
                              </w:rPr>
                              <w:t>tBME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22"/>
                                <w:szCs w:val="22"/>
                              </w:rPr>
                              <w:t xml:space="preserve"> systems, respectively.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31D5F" id="_x0000_s1029" type="#_x0000_t202" style="position:absolute;left:0;text-align:left;margin-left:301.5pt;margin-top:146.45pt;width:164.85pt;height:7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" fillcolor="white [3201]" stroked="f" strokeweight=".5pt">
                <v:textbox>
                  <w:txbxContent>
                    <w:p w14:paraId="6524326D" w14:textId="287B35CB" w:rsidR="00720F4A" w:rsidRPr="00720F4A" w:rsidRDefault="00720F4A" w:rsidP="00720F4A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color w:val="auto"/>
                          <w:sz w:val="22"/>
                          <w:szCs w:val="22"/>
                        </w:rPr>
                      </w:pPr>
                      <w:r w:rsidRPr="0061348E">
                        <w:rPr>
                          <w:rFonts w:ascii="Times New Roman" w:hAnsi="Times New Roman" w:cs="Times New Roman"/>
                          <w:b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 xml:space="preserve">Figure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 xml:space="preserve">2 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z w:val="22"/>
                          <w:szCs w:val="22"/>
                        </w:rPr>
                        <w:t>MSDs of non-clustered Li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z w:val="22"/>
                          <w:szCs w:val="22"/>
                          <w:vertAlign w:val="superscript"/>
                        </w:rPr>
                        <w:t>+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z w:val="22"/>
                          <w:szCs w:val="22"/>
                        </w:rPr>
                        <w:t>, clustered Li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z w:val="22"/>
                          <w:szCs w:val="22"/>
                          <w:vertAlign w:val="superscript"/>
                        </w:rPr>
                        <w:t>+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z w:val="22"/>
                          <w:szCs w:val="22"/>
                        </w:rPr>
                        <w:t>, and the average over all Li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z w:val="22"/>
                          <w:szCs w:val="22"/>
                          <w:vertAlign w:val="superscript"/>
                        </w:rPr>
                        <w:t>+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z w:val="22"/>
                          <w:szCs w:val="22"/>
                        </w:rPr>
                        <w:t xml:space="preserve">. The upper and lower panels correspond to the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z w:val="22"/>
                          <w:szCs w:val="22"/>
                        </w:rPr>
                        <w:t>nBME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z w:val="22"/>
                          <w:szCs w:val="22"/>
                        </w:rPr>
                        <w:t xml:space="preserve"> and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z w:val="22"/>
                          <w:szCs w:val="22"/>
                        </w:rPr>
                        <w:t>tBME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z w:val="22"/>
                          <w:szCs w:val="22"/>
                        </w:rPr>
                        <w:t xml:space="preserve"> systems, respectively.</w:t>
                      </w:r>
                    </w:p>
                  </w:txbxContent>
                </v:textbox>
              </v:shape>
            </w:pict>
          </mc:Fallback>
        </mc:AlternateContent>
      </w:r>
      <w:r w:rsidR="00BD3F10" w:rsidRPr="00BD3F10">
        <w:rPr>
          <w:rFonts w:ascii="Times New Roman" w:hAnsi="Times New Roman"/>
        </w:rPr>
        <w:t xml:space="preserve">Cluster analysis revealed that the </w:t>
      </w:r>
      <w:proofErr w:type="spellStart"/>
      <w:r w:rsidR="00BD3F10" w:rsidRPr="00BD3F10">
        <w:rPr>
          <w:rFonts w:ascii="Times New Roman" w:hAnsi="Times New Roman"/>
        </w:rPr>
        <w:t>nBME</w:t>
      </w:r>
      <w:proofErr w:type="spellEnd"/>
      <w:r w:rsidR="00BD3F10" w:rsidRPr="00BD3F10">
        <w:rPr>
          <w:rFonts w:ascii="Times New Roman" w:hAnsi="Times New Roman"/>
        </w:rPr>
        <w:t xml:space="preserve"> and </w:t>
      </w:r>
      <w:proofErr w:type="spellStart"/>
      <w:r w:rsidR="00BD3F10" w:rsidRPr="00BD3F10">
        <w:rPr>
          <w:rFonts w:ascii="Times New Roman" w:hAnsi="Times New Roman"/>
        </w:rPr>
        <w:t>tBME</w:t>
      </w:r>
      <w:proofErr w:type="spellEnd"/>
      <w:r w:rsidR="00BD3F10" w:rsidRPr="00BD3F10">
        <w:rPr>
          <w:rFonts w:ascii="Times New Roman" w:hAnsi="Times New Roman"/>
        </w:rPr>
        <w:t xml:space="preserve"> systems formed different LiTFSA cluster structures (Figure 1). The cluster volume distribution showed that larger LiTFSA clusters were preferentially formed in the </w:t>
      </w:r>
      <w:proofErr w:type="spellStart"/>
      <w:r w:rsidR="00BD3F10" w:rsidRPr="00BD3F10">
        <w:rPr>
          <w:rFonts w:ascii="Times New Roman" w:hAnsi="Times New Roman"/>
        </w:rPr>
        <w:t>nBME</w:t>
      </w:r>
      <w:proofErr w:type="spellEnd"/>
      <w:r w:rsidR="00BD3F10" w:rsidRPr="00BD3F10">
        <w:rPr>
          <w:rFonts w:ascii="Times New Roman" w:hAnsi="Times New Roman"/>
        </w:rPr>
        <w:t xml:space="preserve"> system, whereas many smaller clusters were formed in the </w:t>
      </w:r>
      <w:proofErr w:type="spellStart"/>
      <w:r w:rsidR="00BD3F10" w:rsidRPr="00BD3F10">
        <w:rPr>
          <w:rFonts w:ascii="Times New Roman" w:hAnsi="Times New Roman"/>
        </w:rPr>
        <w:t>tBME</w:t>
      </w:r>
      <w:proofErr w:type="spellEnd"/>
      <w:r w:rsidR="00BD3F10" w:rsidRPr="00BD3F10">
        <w:rPr>
          <w:rFonts w:ascii="Times New Roman" w:hAnsi="Times New Roman"/>
        </w:rPr>
        <w:t xml:space="preserve"> system. This difference is likely related to the different coordination abilities of </w:t>
      </w:r>
      <w:proofErr w:type="spellStart"/>
      <w:r w:rsidR="00BD3F10" w:rsidRPr="00BD3F10">
        <w:rPr>
          <w:rFonts w:ascii="Times New Roman" w:hAnsi="Times New Roman"/>
        </w:rPr>
        <w:t>nBME</w:t>
      </w:r>
      <w:proofErr w:type="spellEnd"/>
      <w:r w:rsidR="00BD3F10" w:rsidRPr="00BD3F10">
        <w:rPr>
          <w:rFonts w:ascii="Times New Roman" w:hAnsi="Times New Roman"/>
        </w:rPr>
        <w:t xml:space="preserve"> and </w:t>
      </w:r>
      <w:proofErr w:type="spellStart"/>
      <w:r w:rsidR="00BD3F10" w:rsidRPr="00BD3F10">
        <w:rPr>
          <w:rFonts w:ascii="Times New Roman" w:hAnsi="Times New Roman"/>
        </w:rPr>
        <w:t>tBME</w:t>
      </w:r>
      <w:proofErr w:type="spellEnd"/>
      <w:r w:rsidR="00BD3F10" w:rsidRPr="00BD3F10">
        <w:rPr>
          <w:rFonts w:ascii="Times New Roman" w:hAnsi="Times New Roman"/>
        </w:rPr>
        <w:t xml:space="preserve"> toward Li⁺. </w:t>
      </w:r>
      <w:proofErr w:type="spellStart"/>
      <w:r w:rsidR="00BD3F10">
        <w:rPr>
          <w:rFonts w:ascii="Times New Roman" w:hAnsi="Times New Roman"/>
        </w:rPr>
        <w:t>tBME</w:t>
      </w:r>
      <w:proofErr w:type="spellEnd"/>
      <w:r w:rsidR="00BD3F10">
        <w:rPr>
          <w:rFonts w:ascii="Times New Roman" w:hAnsi="Times New Roman"/>
        </w:rPr>
        <w:t xml:space="preserve"> coordinates more readily with Li</w:t>
      </w:r>
      <w:r w:rsidR="00BD3F10">
        <w:rPr>
          <w:rFonts w:ascii="Times New Roman" w:hAnsi="Times New Roman"/>
          <w:vertAlign w:val="superscript"/>
        </w:rPr>
        <w:t>+</w:t>
      </w:r>
      <w:r w:rsidR="00BD3F10">
        <w:rPr>
          <w:rFonts w:ascii="Times New Roman" w:hAnsi="Times New Roman"/>
        </w:rPr>
        <w:t xml:space="preserve"> than </w:t>
      </w:r>
      <w:proofErr w:type="spellStart"/>
      <w:r w:rsidR="00BD3F10">
        <w:rPr>
          <w:rFonts w:ascii="Times New Roman" w:hAnsi="Times New Roman"/>
        </w:rPr>
        <w:t>nBME</w:t>
      </w:r>
      <w:proofErr w:type="spellEnd"/>
      <w:r w:rsidR="00BD3F10">
        <w:rPr>
          <w:rFonts w:ascii="Times New Roman" w:hAnsi="Times New Roman"/>
        </w:rPr>
        <w:t xml:space="preserve">, which suppresses LiTFSA aggregation. As a result, the </w:t>
      </w:r>
      <w:proofErr w:type="spellStart"/>
      <w:r w:rsidR="00BD3F10">
        <w:rPr>
          <w:rFonts w:ascii="Times New Roman" w:hAnsi="Times New Roman"/>
        </w:rPr>
        <w:t>tBME</w:t>
      </w:r>
      <w:proofErr w:type="spellEnd"/>
      <w:r w:rsidR="00BD3F10">
        <w:rPr>
          <w:rFonts w:ascii="Times New Roman" w:hAnsi="Times New Roman"/>
        </w:rPr>
        <w:t xml:space="preserve"> system contains smaller LiTFSA clusters and more non-clustered Li</w:t>
      </w:r>
      <w:r w:rsidR="00BD3F10">
        <w:rPr>
          <w:rFonts w:ascii="Times New Roman" w:hAnsi="Times New Roman"/>
          <w:vertAlign w:val="superscript"/>
        </w:rPr>
        <w:t>+</w:t>
      </w:r>
      <w:r w:rsidR="00BD3F10">
        <w:rPr>
          <w:rFonts w:ascii="Times New Roman" w:hAnsi="Times New Roman"/>
        </w:rPr>
        <w:t xml:space="preserve"> species.</w:t>
      </w:r>
    </w:p>
    <w:p w14:paraId="686B22C1" w14:textId="0E2CF9A6" w:rsidR="008214F0" w:rsidRDefault="000C2BB9" w:rsidP="008214F0">
      <w:pPr>
        <w:rPr>
          <w:rFonts w:ascii="Times New Roman" w:hAnsi="Times New Roman"/>
        </w:rPr>
      </w:pPr>
      <w:r w:rsidRPr="000C2BB9">
        <w:rPr>
          <w:rFonts w:ascii="Times New Roman" w:hAnsi="Times New Roman"/>
        </w:rPr>
        <w:t>MSDs calculated separately for clustered and non-clustered Li⁺ showed that non-clustered Li⁺ diffused faster than clustered Li⁺ (Figure 2), indicating that Li⁺ species in diluent-rich regions enhance the overall Li⁺ transport. In addition, the center-of-mass MSD of LiTFSA clusters larger than 1 nm³ revealed that cluster translational motion also contributes to Li⁺ transport. By further analyzing the diffusion behavior for different cluster sizes, we discuss size-</w:t>
      </w:r>
      <w:r w:rsidR="008214F0">
        <w:rPr>
          <w:rFonts w:ascii="Times New Roman" w:hAnsi="Times New Roman"/>
        </w:rPr>
        <w:t>dependent</w:t>
      </w:r>
      <w:r w:rsidRPr="000C2BB9">
        <w:rPr>
          <w:rFonts w:ascii="Times New Roman" w:hAnsi="Times New Roman"/>
        </w:rPr>
        <w:t xml:space="preserve"> Li⁺ transport involving </w:t>
      </w:r>
      <w:r w:rsidR="008214F0">
        <w:rPr>
          <w:rFonts w:ascii="Times New Roman" w:hAnsi="Times New Roman"/>
        </w:rPr>
        <w:t>non-clustered Li</w:t>
      </w:r>
      <w:r w:rsidR="008214F0">
        <w:rPr>
          <w:rFonts w:ascii="Times New Roman" w:hAnsi="Times New Roman"/>
          <w:vertAlign w:val="superscript"/>
        </w:rPr>
        <w:t>+</w:t>
      </w:r>
      <w:r w:rsidR="008214F0">
        <w:rPr>
          <w:rFonts w:ascii="Times New Roman" w:hAnsi="Times New Roman"/>
        </w:rPr>
        <w:t xml:space="preserve"> </w:t>
      </w:r>
      <w:r w:rsidRPr="000C2BB9">
        <w:rPr>
          <w:rFonts w:ascii="Times New Roman" w:hAnsi="Times New Roman"/>
        </w:rPr>
        <w:t>species, medium-sized LiTFSA clusters, and large LiTFSA clusters.</w:t>
      </w:r>
    </w:p>
    <w:p w14:paraId="2AB8D072" w14:textId="2B9BCA5A" w:rsidR="008214F0" w:rsidRPr="008214F0" w:rsidRDefault="008214F0" w:rsidP="008214F0">
      <w:pPr>
        <w:rPr>
          <w:rFonts w:ascii="Times New Roman" w:hAnsi="Times New Roman"/>
        </w:rPr>
      </w:pPr>
      <w:r w:rsidRPr="008214F0">
        <w:rPr>
          <w:rFonts w:ascii="Times New Roman" w:hAnsi="Times New Roman"/>
        </w:rPr>
        <w:t>These results suggest that suppressing excessive LiTFSA aggregation and forming mobile small-to-medium-sized clusters</w:t>
      </w:r>
      <w:r w:rsidR="00274BEC">
        <w:rPr>
          <w:rFonts w:ascii="Times New Roman" w:hAnsi="Times New Roman"/>
        </w:rPr>
        <w:t xml:space="preserve"> are</w:t>
      </w:r>
      <w:r w:rsidRPr="008214F0">
        <w:rPr>
          <w:rFonts w:ascii="Times New Roman" w:hAnsi="Times New Roman"/>
        </w:rPr>
        <w:t xml:space="preserve"> important for </w:t>
      </w:r>
      <w:r w:rsidR="00F0322C">
        <w:rPr>
          <w:rFonts w:ascii="Times New Roman" w:hAnsi="Times New Roman"/>
        </w:rPr>
        <w:t>promoting Li</w:t>
      </w:r>
      <w:r w:rsidR="00F0322C">
        <w:rPr>
          <w:rFonts w:ascii="Times New Roman" w:hAnsi="Times New Roman"/>
          <w:vertAlign w:val="superscript"/>
        </w:rPr>
        <w:t>+</w:t>
      </w:r>
      <w:r w:rsidR="00F0322C">
        <w:rPr>
          <w:rFonts w:ascii="Times New Roman" w:hAnsi="Times New Roman"/>
        </w:rPr>
        <w:t xml:space="preserve"> diffusion </w:t>
      </w:r>
      <w:r w:rsidRPr="008214F0">
        <w:rPr>
          <w:rFonts w:ascii="Times New Roman" w:hAnsi="Times New Roman"/>
        </w:rPr>
        <w:t>in LHCEs.</w:t>
      </w:r>
    </w:p>
    <w:p w14:paraId="1F29E16F" w14:textId="77777777" w:rsidR="008214F0" w:rsidRPr="008214F0" w:rsidRDefault="008214F0" w:rsidP="006A41DD">
      <w:pPr>
        <w:autoSpaceDE/>
        <w:autoSpaceDN/>
        <w:jc w:val="left"/>
        <w:rPr>
          <w:rFonts w:ascii="Times New Roman" w:eastAsia="Times New Roman" w:hAnsi="Times New Roman" w:cs="Times New Roman"/>
          <w:color w:val="auto"/>
        </w:rPr>
      </w:pPr>
    </w:p>
    <w:p w14:paraId="072D52C4" w14:textId="330288F9" w:rsidR="000E3AE1" w:rsidRPr="006A41DD" w:rsidRDefault="000E3AE1" w:rsidP="000E3AE1">
      <w:pPr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b/>
          <w:bCs/>
          <w:lang w:val="en-GB"/>
        </w:rPr>
        <w:t>References</w:t>
      </w:r>
    </w:p>
    <w:p w14:paraId="701E56D5" w14:textId="785D13D8" w:rsidR="009B7FE3" w:rsidRPr="00235041" w:rsidRDefault="000E3AE1" w:rsidP="00235041">
      <w:pPr>
        <w:pStyle w:val="2"/>
        <w:ind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 w:cs="Times New Roman"/>
          <w:lang w:val="en-GB"/>
        </w:rPr>
        <w:t>[1] Y.</w:t>
      </w:r>
      <w:r w:rsidRPr="00A042EA">
        <w:rPr>
          <w:rFonts w:ascii="Times New Roman" w:hAnsi="Times New Roman"/>
          <w:sz w:val="24"/>
        </w:rPr>
        <w:t xml:space="preserve"> Ito, Y. Yasuda, Y. Konishi, T. Shiba, K. Dokko, K. Fujimoto, </w:t>
      </w:r>
      <w:r w:rsidRPr="008265C6">
        <w:rPr>
          <w:rFonts w:ascii="Times New Roman" w:hAnsi="Times New Roman"/>
          <w:i/>
          <w:iCs/>
          <w:sz w:val="24"/>
        </w:rPr>
        <w:t>J. Phys. Chem. C</w:t>
      </w:r>
      <w:r w:rsidRPr="002A1D12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b/>
          <w:bCs/>
          <w:sz w:val="24"/>
        </w:rPr>
        <w:t>130</w:t>
      </w:r>
      <w:r>
        <w:rPr>
          <w:rFonts w:ascii="Times New Roman" w:hAnsi="Times New Roman"/>
          <w:sz w:val="24"/>
        </w:rPr>
        <w:t>,</w:t>
      </w:r>
      <w:r w:rsidRPr="00A042EA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1327-1337</w:t>
      </w:r>
      <w:r w:rsidR="0032715C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(2026).</w:t>
      </w:r>
    </w:p>
    <w:sectPr w:rsidR="009B7FE3" w:rsidRPr="00235041" w:rsidSect="000E068C">
      <w:headerReference w:type="first" r:id="rId15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28042" w14:textId="77777777" w:rsidR="00E41BB4" w:rsidRDefault="00E41BB4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57C1C6E8" w14:textId="77777777" w:rsidR="00E41BB4" w:rsidRDefault="00E41BB4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329BA" w14:textId="77777777" w:rsidR="00E41BB4" w:rsidRDefault="00E41BB4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10BD583C" w14:textId="77777777" w:rsidR="00E41BB4" w:rsidRDefault="00E41BB4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F1D70" w14:textId="77777777" w:rsidR="005C305C" w:rsidRPr="005C305C" w:rsidRDefault="009D76BD" w:rsidP="005C305C">
    <w:pPr>
      <w:pStyle w:val="a6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14:paraId="405949DF" w14:textId="72EFD582" w:rsidR="00121503" w:rsidRPr="005C305C" w:rsidRDefault="009D76BD" w:rsidP="005C305C">
    <w:pPr>
      <w:pStyle w:val="a6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r w:rsidR="008019B2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8019B2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st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</w:t>
    </w:r>
    <w:proofErr w:type="gramEnd"/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202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1604728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83148"/>
    <w:rsid w:val="000908E8"/>
    <w:rsid w:val="000C2BB9"/>
    <w:rsid w:val="000D2FA6"/>
    <w:rsid w:val="000E068C"/>
    <w:rsid w:val="000E2212"/>
    <w:rsid w:val="000E3AE1"/>
    <w:rsid w:val="0010600F"/>
    <w:rsid w:val="001074BF"/>
    <w:rsid w:val="00121503"/>
    <w:rsid w:val="00136DB5"/>
    <w:rsid w:val="00193928"/>
    <w:rsid w:val="001E3349"/>
    <w:rsid w:val="00231302"/>
    <w:rsid w:val="00235041"/>
    <w:rsid w:val="00253636"/>
    <w:rsid w:val="00263205"/>
    <w:rsid w:val="00274257"/>
    <w:rsid w:val="00274BEC"/>
    <w:rsid w:val="002A2BE3"/>
    <w:rsid w:val="002A78C0"/>
    <w:rsid w:val="002D2CBB"/>
    <w:rsid w:val="002E2D20"/>
    <w:rsid w:val="0031795B"/>
    <w:rsid w:val="0032715C"/>
    <w:rsid w:val="00347A46"/>
    <w:rsid w:val="00353EAC"/>
    <w:rsid w:val="00365F82"/>
    <w:rsid w:val="00367436"/>
    <w:rsid w:val="003F2EC0"/>
    <w:rsid w:val="00414C25"/>
    <w:rsid w:val="00455BDA"/>
    <w:rsid w:val="00464BEB"/>
    <w:rsid w:val="004931DE"/>
    <w:rsid w:val="004B6472"/>
    <w:rsid w:val="004C64EB"/>
    <w:rsid w:val="004E30A4"/>
    <w:rsid w:val="00501487"/>
    <w:rsid w:val="005469D9"/>
    <w:rsid w:val="005545FA"/>
    <w:rsid w:val="00586A94"/>
    <w:rsid w:val="005A089E"/>
    <w:rsid w:val="005B2556"/>
    <w:rsid w:val="005C305C"/>
    <w:rsid w:val="005C41E1"/>
    <w:rsid w:val="005F7FCC"/>
    <w:rsid w:val="0061348E"/>
    <w:rsid w:val="00641F63"/>
    <w:rsid w:val="00650FC2"/>
    <w:rsid w:val="0066218E"/>
    <w:rsid w:val="006A41DD"/>
    <w:rsid w:val="006B6FA2"/>
    <w:rsid w:val="006C3A1F"/>
    <w:rsid w:val="006D29C2"/>
    <w:rsid w:val="00720F4A"/>
    <w:rsid w:val="00736CAF"/>
    <w:rsid w:val="007512F9"/>
    <w:rsid w:val="00790F76"/>
    <w:rsid w:val="007C1576"/>
    <w:rsid w:val="007C5B23"/>
    <w:rsid w:val="007D3797"/>
    <w:rsid w:val="007D40D8"/>
    <w:rsid w:val="007F6CCF"/>
    <w:rsid w:val="008019B2"/>
    <w:rsid w:val="00803424"/>
    <w:rsid w:val="0081503C"/>
    <w:rsid w:val="008214F0"/>
    <w:rsid w:val="008309B6"/>
    <w:rsid w:val="00835925"/>
    <w:rsid w:val="008373DC"/>
    <w:rsid w:val="0085659C"/>
    <w:rsid w:val="00883592"/>
    <w:rsid w:val="008A5395"/>
    <w:rsid w:val="008B09B5"/>
    <w:rsid w:val="00961163"/>
    <w:rsid w:val="00982821"/>
    <w:rsid w:val="0099331B"/>
    <w:rsid w:val="009B4373"/>
    <w:rsid w:val="009B7FE3"/>
    <w:rsid w:val="009D652E"/>
    <w:rsid w:val="009D76BD"/>
    <w:rsid w:val="009E270C"/>
    <w:rsid w:val="009E5FC0"/>
    <w:rsid w:val="009F2461"/>
    <w:rsid w:val="00A462F7"/>
    <w:rsid w:val="00A51C06"/>
    <w:rsid w:val="00A557B0"/>
    <w:rsid w:val="00A805D7"/>
    <w:rsid w:val="00AA11ED"/>
    <w:rsid w:val="00AC16A9"/>
    <w:rsid w:val="00AD0CB5"/>
    <w:rsid w:val="00AF4C78"/>
    <w:rsid w:val="00B67151"/>
    <w:rsid w:val="00B70E27"/>
    <w:rsid w:val="00BD3F10"/>
    <w:rsid w:val="00C75D52"/>
    <w:rsid w:val="00C85037"/>
    <w:rsid w:val="00CB1F1E"/>
    <w:rsid w:val="00CB6020"/>
    <w:rsid w:val="00CD29C8"/>
    <w:rsid w:val="00CF7596"/>
    <w:rsid w:val="00CF7EB1"/>
    <w:rsid w:val="00D334E6"/>
    <w:rsid w:val="00D412F4"/>
    <w:rsid w:val="00D656A7"/>
    <w:rsid w:val="00D808D2"/>
    <w:rsid w:val="00D8300D"/>
    <w:rsid w:val="00D855AC"/>
    <w:rsid w:val="00D90AA2"/>
    <w:rsid w:val="00E41BB4"/>
    <w:rsid w:val="00E4528E"/>
    <w:rsid w:val="00E519B2"/>
    <w:rsid w:val="00E80C4B"/>
    <w:rsid w:val="00E931EB"/>
    <w:rsid w:val="00ED3DD1"/>
    <w:rsid w:val="00EE08EF"/>
    <w:rsid w:val="00EE79AA"/>
    <w:rsid w:val="00EF24F8"/>
    <w:rsid w:val="00EF2E31"/>
    <w:rsid w:val="00F0322C"/>
    <w:rsid w:val="00F0375E"/>
    <w:rsid w:val="00F778AE"/>
    <w:rsid w:val="00F83434"/>
    <w:rsid w:val="00F932FB"/>
    <w:rsid w:val="00FC091B"/>
    <w:rsid w:val="00FC4960"/>
    <w:rsid w:val="00F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278E15B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utoSpaceDE w:val="0"/>
      <w:autoSpaceDN w:val="0"/>
      <w:jc w:val="both"/>
    </w:pPr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rFonts w:ascii="Times New Roman" w:hAnsi="Times New Roman" w:cs="Times New Roman"/>
      <w:color w:val="0000FF"/>
      <w:u w:val="single"/>
    </w:rPr>
  </w:style>
  <w:style w:type="paragraph" w:styleId="2">
    <w:name w:val="Body Text 2"/>
    <w:basedOn w:val="a"/>
    <w:link w:val="20"/>
    <w:uiPriority w:val="99"/>
    <w:pPr>
      <w:ind w:firstLine="284"/>
    </w:pPr>
    <w:rPr>
      <w:sz w:val="22"/>
      <w:szCs w:val="22"/>
    </w:rPr>
  </w:style>
  <w:style w:type="character" w:customStyle="1" w:styleId="20">
    <w:name w:val="本文 2 (文字)"/>
    <w:basedOn w:val="a0"/>
    <w:link w:val="2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a4">
    <w:name w:val="Plain Text"/>
    <w:basedOn w:val="a"/>
    <w:link w:val="a5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a5">
    <w:name w:val="書式なし (文字)"/>
    <w:basedOn w:val="a0"/>
    <w:link w:val="a4"/>
    <w:uiPriority w:val="99"/>
    <w:semiHidden/>
    <w:locked/>
    <w:rPr>
      <w:rFonts w:ascii="Courier New" w:eastAsia="ＭＳ 明朝" w:hAnsi="Courier New" w:cs="Courier New"/>
      <w:color w:val="000000"/>
      <w:lang w:val="en-US" w:eastAsia="ja-JP"/>
    </w:rPr>
  </w:style>
  <w:style w:type="paragraph" w:styleId="21">
    <w:name w:val="Body Text Indent 2"/>
    <w:basedOn w:val="a"/>
    <w:link w:val="22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22">
    <w:name w:val="本文インデント 2 (文字)"/>
    <w:basedOn w:val="a0"/>
    <w:link w:val="21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3">
    <w:name w:val="Body Text Indent 3"/>
    <w:basedOn w:val="a"/>
    <w:link w:val="30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30">
    <w:name w:val="本文インデント 3 (文字)"/>
    <w:basedOn w:val="a0"/>
    <w:link w:val="3"/>
    <w:uiPriority w:val="99"/>
    <w:semiHidden/>
    <w:locked/>
    <w:rPr>
      <w:rFonts w:ascii="Palatino" w:eastAsia="ＭＳ 明朝" w:hAnsi="Palatino" w:cs="Palatino"/>
      <w:color w:val="000000"/>
      <w:sz w:val="16"/>
      <w:szCs w:val="16"/>
      <w:lang w:val="en-US" w:eastAsia="ja-JP"/>
    </w:rPr>
  </w:style>
  <w:style w:type="paragraph" w:styleId="a6">
    <w:name w:val="header"/>
    <w:basedOn w:val="a"/>
    <w:link w:val="a7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a7">
    <w:name w:val="ヘッダー (文字)"/>
    <w:basedOn w:val="a0"/>
    <w:link w:val="a6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a8">
    <w:name w:val="footer"/>
    <w:basedOn w:val="a"/>
    <w:link w:val="a9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a9">
    <w:name w:val="フッター (文字)"/>
    <w:basedOn w:val="a0"/>
    <w:link w:val="a8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character" w:styleId="aa">
    <w:name w:val="page number"/>
    <w:basedOn w:val="a0"/>
    <w:uiPriority w:val="99"/>
    <w:rsid w:val="00E4528E"/>
    <w:rPr>
      <w:rFonts w:cs="Times New Roman"/>
    </w:rPr>
  </w:style>
  <w:style w:type="character" w:styleId="ab">
    <w:name w:val="Unresolved Mention"/>
    <w:basedOn w:val="a0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  <w:style w:type="paragraph" w:customStyle="1" w:styleId="p1">
    <w:name w:val="p1"/>
    <w:basedOn w:val="a"/>
    <w:rsid w:val="00B67151"/>
    <w:pPr>
      <w:autoSpaceDE/>
      <w:autoSpaceDN/>
      <w:jc w:val="left"/>
    </w:pPr>
    <w:rPr>
      <w:rFonts w:ascii="Times New Roman" w:eastAsia="ＭＳ Ｐゴシック" w:hAnsi="Times New Roman" w:cs="Times New Roman"/>
      <w:sz w:val="15"/>
      <w:szCs w:val="15"/>
    </w:rPr>
  </w:style>
  <w:style w:type="character" w:customStyle="1" w:styleId="s1">
    <w:name w:val="s1"/>
    <w:basedOn w:val="a0"/>
    <w:rsid w:val="00B67151"/>
    <w:rPr>
      <w:rFonts w:ascii="Times New Roman" w:hAnsi="Times New Roman" w:cs="Times New Roman" w:hint="default"/>
      <w:sz w:val="10"/>
      <w:szCs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414</Words>
  <Characters>2492</Characters>
  <Application>Microsoft Office Word</Application>
  <DocSecurity>0</DocSecurity>
  <Lines>40</Lines>
  <Paragraphs>16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Abstract Template for 6th International Conference on</vt:lpstr>
      <vt:lpstr>Abstract Template for 6th International Conference on</vt:lpstr>
    </vt:vector>
  </TitlesOfParts>
  <Company>ICPM-6</Company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ITO Yuki</cp:lastModifiedBy>
  <cp:revision>2</cp:revision>
  <cp:lastPrinted>2016-01-14T19:34:00Z</cp:lastPrinted>
  <dcterms:created xsi:type="dcterms:W3CDTF">2026-06-18T00:31:00Z</dcterms:created>
  <dcterms:modified xsi:type="dcterms:W3CDTF">2026-06-18T00:31:00Z</dcterms:modified>
</cp:coreProperties>
</file>