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Times New Roman" w:hAnsi="Times New Roman" w:cs="Times New Roman"/>
          <w:sz w:val="32"/>
          <w:szCs w:val="32"/>
          <w:lang w:val="en-GB"/>
        </w:rPr>
      </w:pPr>
      <w:r>
        <w:rPr>
          <w:rFonts w:cs="Times New Roman" w:ascii="Times New Roman" w:hAnsi="Times New Roman"/>
          <w:b/>
          <w:bCs/>
          <w:sz w:val="32"/>
          <w:szCs w:val="32"/>
          <w:lang w:val="en-GB"/>
        </w:rPr>
        <w:t>Automating the Self-Consistent Electrostatic Embedding Model</w:t>
      </w:r>
    </w:p>
    <w:p>
      <w:pPr>
        <w:pStyle w:val="Normal"/>
        <w:jc w:val="center"/>
        <w:rPr>
          <w:rFonts w:ascii="Times New Roman" w:hAnsi="Times New Roman" w:cs="Times New Roman"/>
          <w:b/>
          <w:bCs/>
          <w:lang w:val="en-GB"/>
        </w:rPr>
      </w:pPr>
      <w:r>
        <w:rPr>
          <w:rFonts w:cs="Times New Roman" w:ascii="Times New Roman" w:hAnsi="Times New Roman"/>
          <w:b/>
          <w:bCs/>
          <w:u w:val="single"/>
          <w:lang w:val="en-GB"/>
        </w:rPr>
        <w:t>Z</w:t>
      </w:r>
      <w:r>
        <w:rPr>
          <w:rFonts w:cs="Times New Roman" w:ascii="Times New Roman" w:hAnsi="Times New Roman"/>
          <w:b/>
          <w:bCs/>
          <w:u w:val="single"/>
          <w:lang w:val="en-GB"/>
        </w:rPr>
        <w:t xml:space="preserve">. </w:t>
      </w:r>
      <w:r>
        <w:rPr>
          <w:rFonts w:cs="Times New Roman" w:ascii="Times New Roman" w:hAnsi="Times New Roman"/>
          <w:b/>
          <w:bCs/>
          <w:u w:val="single"/>
          <w:lang w:val="en-GB"/>
        </w:rPr>
        <w:t>Macpherson</w:t>
      </w:r>
      <w:r>
        <w:rPr>
          <w:rFonts w:cs="Times New Roman" w:ascii="Times New Roman" w:hAnsi="Times New Roman"/>
          <w:b/>
          <w:bCs/>
          <w:vertAlign w:val="superscript"/>
          <w:lang w:val="en-GB"/>
        </w:rPr>
        <w:t>1</w:t>
      </w:r>
      <w:r>
        <w:rPr>
          <w:rFonts w:cs="Times New Roman" w:ascii="Times New Roman" w:hAnsi="Times New Roman"/>
          <w:b/>
          <w:bCs/>
          <w:lang w:val="en-GB"/>
        </w:rPr>
        <w:t xml:space="preserve">, </w:t>
      </w:r>
      <w:r>
        <w:rPr>
          <w:rFonts w:cs="Times New Roman" w:ascii="Times New Roman" w:hAnsi="Times New Roman"/>
          <w:b/>
          <w:bCs/>
          <w:lang w:val="en-GB"/>
        </w:rPr>
        <w:t>L</w:t>
      </w:r>
      <w:r>
        <w:rPr>
          <w:rFonts w:cs="Times New Roman" w:ascii="Times New Roman" w:hAnsi="Times New Roman"/>
          <w:b/>
          <w:bCs/>
          <w:lang w:val="en-GB"/>
        </w:rPr>
        <w:t xml:space="preserve">. </w:t>
      </w:r>
      <w:r>
        <w:rPr>
          <w:rFonts w:cs="Times New Roman" w:ascii="Times New Roman" w:hAnsi="Times New Roman"/>
          <w:b/>
          <w:bCs/>
          <w:lang w:val="en-GB"/>
        </w:rPr>
        <w:t>Lue</w:t>
      </w:r>
      <w:r>
        <w:rPr>
          <w:rFonts w:cs="Times New Roman" w:ascii="Times New Roman" w:hAnsi="Times New Roman"/>
          <w:b/>
          <w:bCs/>
          <w:vertAlign w:val="superscript"/>
          <w:lang w:val="en-GB"/>
        </w:rPr>
        <w:t>1</w:t>
      </w:r>
      <w:r>
        <w:rPr>
          <w:rFonts w:cs="Times New Roman" w:ascii="Times New Roman" w:hAnsi="Times New Roman"/>
          <w:b/>
          <w:bCs/>
          <w:lang w:val="en-GB"/>
        </w:rPr>
        <w:t xml:space="preserve">, </w:t>
      </w:r>
      <w:r>
        <w:rPr>
          <w:rFonts w:cs="Times New Roman" w:ascii="Times New Roman" w:hAnsi="Times New Roman"/>
          <w:b/>
          <w:bCs/>
          <w:u w:val="none"/>
          <w:lang w:val="en-GB"/>
        </w:rPr>
        <w:t>M. Jorge</w:t>
      </w:r>
      <w:r>
        <w:rPr>
          <w:rFonts w:cs="Times New Roman" w:ascii="Times New Roman" w:hAnsi="Times New Roman"/>
          <w:b/>
          <w:bCs/>
          <w:u w:val="single"/>
          <w:vertAlign w:val="superscript"/>
          <w:lang w:val="en-GB"/>
        </w:rPr>
        <w:t>1</w:t>
      </w:r>
      <w:r>
        <w:rPr>
          <w:rFonts w:cs="Times New Roman" w:ascii="Times New Roman" w:hAnsi="Times New Roman"/>
          <w:b/>
          <w:bCs/>
          <w:lang w:val="en-GB"/>
        </w:rPr>
        <w:t xml:space="preserve"> </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vertAlign w:val="superscript"/>
          <w:lang w:val="en-GB"/>
        </w:rPr>
        <w:t>1</w:t>
      </w:r>
      <w:r>
        <w:rPr>
          <w:rFonts w:cs="Times New Roman" w:ascii="Times New Roman" w:hAnsi="Times New Roman"/>
          <w:sz w:val="22"/>
          <w:szCs w:val="22"/>
          <w:lang w:val="en-GB"/>
        </w:rPr>
        <w:t xml:space="preserve">University of Strathclyde,  Glasgow, </w:t>
      </w:r>
      <w:r>
        <w:rPr>
          <w:rFonts w:cs="Times New Roman" w:ascii="Times New Roman" w:hAnsi="Times New Roman"/>
          <w:sz w:val="22"/>
          <w:szCs w:val="22"/>
          <w:lang w:val="en-GB"/>
        </w:rPr>
        <w:t>G1 1XJ</w:t>
      </w:r>
    </w:p>
    <w:p>
      <w:pPr>
        <w:pStyle w:val="Normal"/>
        <w:jc w:val="center"/>
        <w:rPr>
          <w:rFonts w:ascii="Times New Roman" w:hAnsi="Times New Roman" w:cs="Times New Roman"/>
          <w:sz w:val="22"/>
          <w:szCs w:val="22"/>
          <w:lang w:val="en-GB"/>
        </w:rPr>
      </w:pPr>
      <w:r>
        <w:rPr>
          <w:rFonts w:cs="Times New Roman" w:ascii="Times New Roman" w:hAnsi="Times New Roman"/>
          <w:sz w:val="22"/>
          <w:szCs w:val="22"/>
          <w:lang w:val="en-GB"/>
        </w:rPr>
        <w:t xml:space="preserve">e-mail: </w:t>
      </w:r>
      <w:r>
        <w:rPr>
          <w:rFonts w:cs="Times New Roman" w:ascii="Times New Roman" w:hAnsi="Times New Roman"/>
          <w:sz w:val="22"/>
          <w:szCs w:val="22"/>
          <w:lang w:val="en-GB"/>
        </w:rPr>
        <w:t>zoe.macpherson.2018</w:t>
      </w:r>
      <w:r>
        <w:rPr>
          <w:rFonts w:cs="Times New Roman" w:ascii="Times New Roman" w:hAnsi="Times New Roman"/>
          <w:sz w:val="22"/>
          <w:szCs w:val="22"/>
          <w:lang w:val="en-GB"/>
        </w:rPr>
        <w:t>@</w:t>
      </w:r>
      <w:r>
        <w:rPr>
          <w:rFonts w:cs="Times New Roman" w:ascii="Times New Roman" w:hAnsi="Times New Roman"/>
          <w:sz w:val="22"/>
          <w:szCs w:val="22"/>
          <w:lang w:val="en-GB"/>
        </w:rPr>
        <w:t>uni.strath.ac.uk</w:t>
      </w:r>
    </w:p>
    <w:p>
      <w:pPr>
        <w:pStyle w:val="Normal"/>
        <w:rPr>
          <w:rFonts w:ascii="Times New Roman" w:hAnsi="Times New Roman" w:cs="Times New Roman"/>
          <w:lang w:val="en-GB"/>
        </w:rPr>
      </w:pPr>
      <w:r>
        <w:rPr>
          <w:rFonts w:cs="Times New Roman" w:ascii="Times New Roman" w:hAnsi="Times New Roman"/>
          <w:lang w:val="en-GB"/>
        </w:rPr>
      </w:r>
    </w:p>
    <w:p>
      <w:pPr>
        <w:pStyle w:val="Normal"/>
        <w:jc w:val="start"/>
        <w:rPr>
          <w:rFonts w:ascii="Times New Roman" w:hAnsi="Times New Roman" w:eastAsia="Times New Roman" w:cs="Times New Roman"/>
          <w:color w:val="auto"/>
          <w:lang w:val="en-GB" w:eastAsia="en-GB"/>
        </w:rPr>
      </w:pPr>
      <w:r>
        <w:rPr>
          <w:rFonts w:eastAsia="Times New Roman" w:cs="Times New Roman" w:ascii="Times New Roman" w:hAnsi="Times New Roman"/>
          <w:color w:val="auto"/>
          <w:lang w:val="en-GB" w:eastAsia="en-GB"/>
        </w:rPr>
        <w:t>The ability of molecular simulations to reliably predict thermodynamic and transport properties depends crucially on the quality of underlying force field models, which describe the bonded and non-bonded interactions of molecules. Emulating experimental observations has allowed us to design these models over the past 50 years to study previously inaccessible chemistry. The most widely used force fields are nonpolarisable, and consequently fail to capture polarisation effects, resulting in systematic deviations in properties such as the dielectric constant. This raises questions about model performance in areas relevant to drug discovery, eg predicting solvation, transfer or binding free energies. Such deviations can be mitigated through post facto polarisation corrections;</w:t>
      </w:r>
      <w:r>
        <w:rPr>
          <w:rFonts w:eastAsia="Times New Roman" w:cs="Arial" w:ascii="Arial" w:hAnsi="Arial"/>
          <w:color w:val="auto"/>
          <w:vertAlign w:val="superscript"/>
          <w:lang w:val="en-GB" w:eastAsia="en-GB"/>
        </w:rPr>
        <w:t>[1]</w:t>
      </w:r>
      <w:r>
        <w:rPr>
          <w:rFonts w:eastAsia="Times New Roman" w:cs="Times New Roman" w:ascii="Times New Roman" w:hAnsi="Times New Roman"/>
          <w:color w:val="auto"/>
          <w:lang w:val="en-GB" w:eastAsia="en-GB"/>
        </w:rPr>
        <w:t xml:space="preserve"> however, knowledge of the liquid phase dipole moment, a quantity related to polarisation, is required.</w:t>
      </w:r>
    </w:p>
    <w:p>
      <w:pPr>
        <w:pStyle w:val="BodyText2"/>
        <w:jc w:val="start"/>
        <w:rPr>
          <w:rFonts w:ascii="Times New Roman" w:hAnsi="Times New Roman" w:cs="Times New Roman"/>
          <w:sz w:val="24"/>
          <w:szCs w:val="24"/>
          <w:lang w:val="en-GB"/>
        </w:rPr>
      </w:pPr>
      <w:r>
        <w:rPr>
          <w:rFonts w:cs="Times New Roman" w:ascii="Times New Roman" w:hAnsi="Times New Roman"/>
          <w:sz w:val="24"/>
          <w:szCs w:val="24"/>
          <w:lang w:val="en-GB"/>
        </w:rPr>
      </w:r>
    </w:p>
    <w:p>
      <w:pPr>
        <w:pStyle w:val="BodyText2"/>
        <w:ind w:hanging="0" w:start="0"/>
        <w:jc w:val="start"/>
        <w:rPr>
          <w:rFonts w:ascii="Times New Roman" w:hAnsi="Times New Roman" w:cs="Times New Roman"/>
          <w:sz w:val="24"/>
          <w:szCs w:val="24"/>
          <w:lang w:val="en-GB"/>
        </w:rPr>
      </w:pPr>
      <w:r>
        <w:rPr>
          <w:rFonts w:cs="Times New Roman" w:ascii="Times New Roman" w:hAnsi="Times New Roman"/>
          <w:sz w:val="24"/>
          <w:szCs w:val="24"/>
          <w:lang w:val="en-GB"/>
        </w:rPr>
        <w:t>Our research group developed Self-Consistent Electrostatic Embedding (SCEE): a computationally efficient approach combining classical molecular simulations with ab initio calculations to accurately capture polarisation effects.</w:t>
      </w:r>
      <w:r>
        <w:rPr>
          <w:rFonts w:cs="Arial" w:ascii="Arial" w:hAnsi="Arial"/>
          <w:sz w:val="24"/>
          <w:szCs w:val="24"/>
          <w:vertAlign w:val="superscript"/>
          <w:lang w:val="en-GB"/>
        </w:rPr>
        <w:t>[2]</w:t>
      </w:r>
      <w:r>
        <w:rPr>
          <w:rFonts w:cs="Arial" w:ascii="Arial" w:hAnsi="Arial"/>
          <w:sz w:val="24"/>
          <w:szCs w:val="24"/>
          <w:lang w:val="en-GB"/>
        </w:rPr>
        <w:t xml:space="preserve"> </w:t>
      </w:r>
      <w:r>
        <w:rPr>
          <w:rFonts w:cs="Times New Roman" w:ascii="Times New Roman" w:hAnsi="Times New Roman"/>
          <w:sz w:val="24"/>
          <w:szCs w:val="24"/>
          <w:lang w:val="en-GB"/>
        </w:rPr>
        <w:t xml:space="preserve"> Previously applied to various polar solvents, we have automated this approach within a new Python workflow, enabling dipole moment calculations at unprecedented accuracy across a wide range of molecules.</w:t>
      </w:r>
      <w:r>
        <w:rPr>
          <w:rFonts w:cs="Arial" w:ascii="Arial" w:hAnsi="Arial"/>
          <w:sz w:val="24"/>
          <w:szCs w:val="24"/>
          <w:vertAlign w:val="superscript"/>
          <w:lang w:val="en-GB"/>
        </w:rPr>
        <w:t xml:space="preserve">[3,4] </w:t>
      </w:r>
      <w:r>
        <w:rPr>
          <w:rFonts w:cs="Times New Roman" w:ascii="Times New Roman" w:hAnsi="Times New Roman"/>
          <w:sz w:val="24"/>
          <w:szCs w:val="24"/>
          <w:lang w:val="en-GB"/>
        </w:rPr>
        <w:t xml:space="preserve"> We demonstrate Automated SCEE through two test cases: i) wide exploration of the phase space of water, including liquid, vapour and supercritical states;</w:t>
      </w:r>
      <w:r>
        <w:rPr>
          <w:rFonts w:cs="Arial" w:ascii="Arial" w:hAnsi="Arial"/>
          <w:sz w:val="24"/>
          <w:szCs w:val="24"/>
          <w:vertAlign w:val="superscript"/>
          <w:lang w:val="en-GB"/>
        </w:rPr>
        <w:t>[5]</w:t>
      </w:r>
      <w:r>
        <w:rPr>
          <w:rFonts w:cs="Times New Roman" w:ascii="Times New Roman" w:hAnsi="Times New Roman"/>
          <w:sz w:val="24"/>
          <w:szCs w:val="24"/>
          <w:lang w:val="en-GB"/>
        </w:rPr>
        <w:t xml:space="preserve"> ii) dipole moment calculation of substituted aromatic molecules in the liquid phase, by far the largest molecules to which this approach has been applied. Our results reveal new connections between the liquid dipole moment and local interactions, particularly hydrogen bonding.</w:t>
      </w:r>
    </w:p>
    <w:p>
      <w:pPr>
        <w:pStyle w:val="Normal"/>
        <w:snapToGrid w:val="false"/>
        <w:ind w:firstLine="284"/>
        <w:jc w:val="start"/>
        <w:rPr>
          <w:rFonts w:ascii="Times New Roman" w:hAnsi="Times New Roman" w:cs="Times New Roman"/>
          <w:b/>
          <w:bCs/>
          <w:color w:val="auto"/>
          <w:lang w:val="en-GB"/>
        </w:rPr>
      </w:pPr>
      <w:r>
        <w:rPr>
          <w:rFonts w:cs="Times New Roman" w:ascii="Times New Roman" w:hAnsi="Times New Roman"/>
          <w:b/>
          <w:bCs/>
          <w:color w:val="auto"/>
          <w:lang w:val="en-GB"/>
        </w:rPr>
      </w:r>
    </w:p>
    <w:p>
      <w:pPr>
        <w:pStyle w:val="Normal"/>
        <w:snapToGrid w:val="false"/>
        <w:ind w:firstLine="708"/>
        <w:jc w:val="start"/>
        <w:rPr>
          <w:rFonts w:ascii="Times New Roman" w:hAnsi="Times New Roman" w:cs="Times New Roman"/>
          <w:bCs/>
          <w:i/>
          <w:color w:val="auto"/>
          <w:sz w:val="22"/>
          <w:szCs w:val="22"/>
          <w:lang w:val="en-GB"/>
        </w:rPr>
      </w:pPr>
      <w:r>
        <w:rPr/>
      </w:r>
    </w:p>
    <w:p>
      <w:pPr>
        <w:pStyle w:val="BodyText2"/>
        <w:jc w:val="start"/>
        <w:rPr>
          <w:rFonts w:ascii="Times New Roman" w:hAnsi="Times New Roman" w:cs="Times New Roman"/>
          <w:sz w:val="24"/>
          <w:szCs w:val="24"/>
          <w:lang w:val="en-GB"/>
        </w:rPr>
      </w:pPr>
      <w:r>
        <w:rPr>
          <w:rFonts w:cs="Times New Roman" w:ascii="Times New Roman" w:hAnsi="Times New Roman"/>
          <w:sz w:val="24"/>
          <w:szCs w:val="24"/>
          <w:lang w:val="en-GB"/>
        </w:rPr>
      </w:r>
      <w:bookmarkStart w:id="0" w:name="_GoBack"/>
      <w:bookmarkStart w:id="1" w:name="_GoBack"/>
      <w:bookmarkEnd w:id="1"/>
    </w:p>
    <w:p>
      <w:pPr>
        <w:pStyle w:val="Normal"/>
        <w:jc w:val="start"/>
        <w:rPr>
          <w:rFonts w:ascii="Times New Roman" w:hAnsi="Times New Roman" w:cs="Times New Roman"/>
          <w:lang w:val="en-GB"/>
        </w:rPr>
      </w:pPr>
      <w:r>
        <w:rPr>
          <w:rFonts w:cs="Times New Roman" w:ascii="Times New Roman" w:hAnsi="Times New Roman"/>
          <w:b/>
          <w:bCs/>
          <w:lang w:val="en-GB"/>
        </w:rPr>
        <w:t>References</w:t>
      </w:r>
    </w:p>
    <w:p>
      <w:pPr>
        <w:pStyle w:val="Normal"/>
        <w:spacing w:lineRule="auto" w:line="240"/>
        <w:rPr>
          <w:rFonts w:ascii="Arial" w:hAnsi="Arial" w:cs="Arial"/>
          <w:sz w:val="20"/>
        </w:rPr>
      </w:pPr>
      <w:r>
        <w:rPr>
          <w:rFonts w:cs="Arial" w:ascii="Arial" w:hAnsi="Arial"/>
          <w:sz w:val="20"/>
        </w:rPr>
        <w:t xml:space="preserve">[1] M. Jorge and L. Lue, (2019): The Dielectric Constant: Reconciling Simulation and Experiment, </w:t>
      </w:r>
      <w:r>
        <w:rPr>
          <w:rFonts w:cs="Arial" w:ascii="Arial" w:hAnsi="Arial"/>
          <w:i/>
          <w:iCs/>
          <w:sz w:val="20"/>
        </w:rPr>
        <w:t>J. Chem. Phys.</w:t>
      </w:r>
      <w:r>
        <w:rPr>
          <w:rFonts w:cs="Arial" w:ascii="Arial" w:hAnsi="Arial"/>
          <w:sz w:val="20"/>
        </w:rPr>
        <w:t>, 150,084108</w:t>
      </w:r>
    </w:p>
    <w:p>
      <w:pPr>
        <w:pStyle w:val="Normal"/>
        <w:spacing w:lineRule="auto" w:line="240"/>
        <w:rPr>
          <w:rFonts w:ascii="Arial" w:hAnsi="Arial" w:cs="Arial"/>
          <w:sz w:val="20"/>
        </w:rPr>
      </w:pPr>
      <w:r>
        <w:rPr>
          <w:rFonts w:cs="Arial" w:ascii="Arial" w:hAnsi="Arial"/>
          <w:sz w:val="20"/>
        </w:rPr>
        <w:t xml:space="preserve">[2] M. Jorge, J. R. B Gomes, and A. W. Milne, (2021): Self Consistent Electrostatic Embedding for Liquid Phase Polarisation, </w:t>
      </w:r>
      <w:r>
        <w:rPr>
          <w:rFonts w:cs="Arial" w:ascii="Arial" w:hAnsi="Arial"/>
          <w:i/>
          <w:iCs/>
          <w:sz w:val="20"/>
        </w:rPr>
        <w:t>J. Mol. Liq.,</w:t>
      </w:r>
      <w:r>
        <w:rPr>
          <w:rFonts w:cs="Arial" w:ascii="Arial" w:hAnsi="Arial"/>
          <w:sz w:val="20"/>
        </w:rPr>
        <w:t xml:space="preserve"> 114550</w:t>
      </w:r>
    </w:p>
    <w:p>
      <w:pPr>
        <w:pStyle w:val="Normal"/>
        <w:spacing w:lineRule="auto" w:line="240"/>
        <w:rPr>
          <w:rFonts w:ascii="Arial" w:hAnsi="Arial" w:cs="Arial"/>
          <w:sz w:val="20"/>
        </w:rPr>
      </w:pPr>
      <w:r>
        <w:rPr>
          <w:rFonts w:cs="Arial" w:ascii="Arial" w:hAnsi="Arial"/>
          <w:sz w:val="20"/>
        </w:rPr>
        <w:t xml:space="preserve">[3] M. Jorge, M. C. Barrera, A. W. Milne, C. Ringrose and D. J. Cole, (2023): What Is the Optimal Dipole Moment for Nonpolarisable Models of Liquids?, </w:t>
      </w:r>
      <w:r>
        <w:rPr>
          <w:rFonts w:cs="Arial" w:ascii="Arial" w:hAnsi="Arial"/>
          <w:i/>
          <w:iCs/>
          <w:sz w:val="20"/>
        </w:rPr>
        <w:t>J. Chem. Theo. And Comp.</w:t>
      </w:r>
      <w:r>
        <w:rPr>
          <w:rFonts w:cs="Arial" w:ascii="Arial" w:hAnsi="Arial"/>
          <w:sz w:val="20"/>
        </w:rPr>
        <w:t>, 1790-1804</w:t>
      </w:r>
    </w:p>
    <w:p>
      <w:pPr>
        <w:pStyle w:val="Normal"/>
        <w:spacing w:lineRule="auto" w:line="240"/>
        <w:rPr>
          <w:rFonts w:ascii="Arial" w:hAnsi="Arial" w:cs="Arial"/>
          <w:sz w:val="20"/>
        </w:rPr>
      </w:pPr>
      <w:r>
        <w:rPr>
          <w:rFonts w:cs="Arial" w:ascii="Arial" w:hAnsi="Arial"/>
          <w:sz w:val="20"/>
        </w:rPr>
        <w:t xml:space="preserve">[4] M. Jorge, J. R. B. Gomes, and M. C. Barrera, (2022): The Dipole Moment of Alcohols in the Liquid Phase and In Solution, </w:t>
      </w:r>
      <w:r>
        <w:rPr>
          <w:rFonts w:cs="Arial" w:ascii="Arial" w:hAnsi="Arial"/>
          <w:i/>
          <w:iCs/>
          <w:sz w:val="20"/>
        </w:rPr>
        <w:t>J. Mol. Liq.</w:t>
      </w:r>
      <w:r>
        <w:rPr>
          <w:rFonts w:cs="Arial" w:ascii="Arial" w:hAnsi="Arial"/>
          <w:sz w:val="20"/>
        </w:rPr>
        <w:t>, 356, 119033</w:t>
      </w:r>
    </w:p>
    <w:p>
      <w:pPr>
        <w:pStyle w:val="Normal"/>
        <w:spacing w:lineRule="auto" w:line="240"/>
        <w:rPr>
          <w:rFonts w:ascii="Arial" w:hAnsi="Arial" w:cs="Arial"/>
          <w:sz w:val="20"/>
        </w:rPr>
      </w:pPr>
      <w:r>
        <w:rPr>
          <w:rFonts w:cs="Arial" w:ascii="Arial" w:hAnsi="Arial"/>
          <w:sz w:val="20"/>
        </w:rPr>
        <w:t xml:space="preserve">[5] Z. Macpherson, J. R.B. Gomes, M. Jorge and L. Lue (2024): The Dipole Moment of Supercritical Water – Local vs Mean-field Polarisation Contributions, </w:t>
      </w:r>
      <w:r>
        <w:rPr>
          <w:rFonts w:cs="Arial" w:ascii="Arial" w:hAnsi="Arial"/>
          <w:i/>
          <w:sz w:val="20"/>
        </w:rPr>
        <w:t>Mol Phys</w:t>
      </w:r>
      <w:r>
        <w:rPr>
          <w:rFonts w:cs="Arial" w:ascii="Arial" w:hAnsi="Arial"/>
          <w:sz w:val="20"/>
        </w:rPr>
        <w:t xml:space="preserve">, e2381574., DOI: 10.1080/00268976.2024.2381574 </w:t>
      </w:r>
    </w:p>
    <w:sectPr>
      <w:headerReference w:type="even" r:id="rId2"/>
      <w:headerReference w:type="default" r:id="rId3"/>
      <w:headerReference w:type="first" r:id="rId4"/>
      <w:type w:val="nextPage"/>
      <w:pgSz w:w="11906" w:h="16838"/>
      <w:pgMar w:left="1134" w:right="1134" w:gutter="113" w:header="454"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Palatino">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Calibri">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European Molecular Liquids Group and Japanese Molecular Liquids Group Annual Meeting (EMLG/JMLG 2026)</w:t>
    </w:r>
  </w:p>
  <w:p>
    <w:pPr>
      <w:pStyle w:val="Header"/>
      <w:tabs>
        <w:tab w:val="clear" w:pos="4320"/>
        <w:tab w:val="right" w:pos="8640" w:leader="none"/>
      </w:tabs>
      <w:jc w:val="center"/>
      <w:rPr>
        <w:rFonts w:ascii="Calibri" w:hAnsi="Calibri" w:cs="Times New Roman" w:asciiTheme="minorHAnsi" w:hAnsiTheme="minorHAnsi"/>
        <w:b/>
        <w:color w:themeColor="text1" w:themeTint="80" w:val="7F7F7F"/>
        <w:sz w:val="20"/>
        <w:szCs w:val="22"/>
      </w:rPr>
    </w:pPr>
    <w:r>
      <w:rPr>
        <w:rFonts w:cs="Times New Roman" w:ascii="Calibri" w:hAnsi="Calibri" w:asciiTheme="minorHAnsi" w:hAnsiTheme="minorHAnsi"/>
        <w:b/>
        <w:color w:themeColor="text1" w:themeTint="80" w:val="7F7F7F"/>
        <w:sz w:val="20"/>
        <w:szCs w:val="22"/>
      </w:rPr>
      <w:t>Glasgow (UK), 31</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August – 4</w:t>
    </w:r>
    <w:r>
      <w:rPr>
        <w:rFonts w:cs="Times New Roman" w:ascii="Calibri" w:hAnsi="Calibri" w:asciiTheme="minorHAnsi" w:hAnsiTheme="minorHAnsi"/>
        <w:b/>
        <w:color w:themeColor="text1" w:themeTint="80" w:val="7F7F7F"/>
        <w:sz w:val="20"/>
        <w:szCs w:val="22"/>
        <w:vertAlign w:val="superscript"/>
      </w:rPr>
      <w:t>th</w:t>
    </w:r>
    <w:r>
      <w:rPr>
        <w:rFonts w:cs="Times New Roman" w:ascii="Calibri" w:hAnsi="Calibri" w:asciiTheme="minorHAnsi" w:hAnsiTheme="minorHAnsi"/>
        <w:b/>
        <w:color w:themeColor="text1" w:themeTint="80" w:val="7F7F7F"/>
        <w:sz w:val="20"/>
        <w:szCs w:val="22"/>
      </w:rPr>
      <w:t xml:space="preserve"> September, 2026</w:t>
    </w:r>
  </w:p>
</w:hdr>
</file>

<file path=word/settings.xml><?xml version="1.0" encoding="utf-8"?>
<w:settings xmlns:w="http://schemas.openxmlformats.org/wordprocessingml/2006/main">
  <w:zoom w:percent="100"/>
  <w:embedSystemFonts/>
  <w:defaultTabStop w:val="708"/>
  <w:autoHyphenation w:val="true"/>
  <w:hyphenationZone w:val="425"/>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en-GB"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pPr>
      <w:widowControl/>
      <w:suppressAutoHyphens w:val="true"/>
      <w:bidi w:val="0"/>
      <w:spacing w:before="0" w:after="0"/>
      <w:jc w:val="both"/>
    </w:pPr>
    <w:rPr>
      <w:rFonts w:ascii="Palatino" w:hAnsi="Palatino" w:eastAsia="MS Mincho" w:cs="Palatino"/>
      <w:color w:val="000000"/>
      <w:kern w:val="0"/>
      <w:sz w:val="24"/>
      <w:szCs w:val="24"/>
      <w:lang w:val="en-US" w:eastAsia="ja-JP" w:bidi="ar-SA"/>
    </w:rPr>
  </w:style>
  <w:style w:type="character" w:styleId="DefaultParagraphFont" w:default="1">
    <w:name w:val="Default Paragraph Font"/>
    <w:uiPriority w:val="1"/>
    <w:semiHidden/>
    <w:qFormat/>
    <w:rPr/>
  </w:style>
  <w:style w:type="character" w:styleId="Hyperlink">
    <w:name w:val="Hyperlink"/>
    <w:basedOn w:val="DefaultParagraphFont"/>
    <w:uiPriority w:val="99"/>
    <w:rPr>
      <w:rFonts w:ascii="Times New Roman" w:hAnsi="Times New Roman" w:cs="Times New Roman"/>
      <w:color w:val="0000FF"/>
      <w:u w:val="single"/>
    </w:rPr>
  </w:style>
  <w:style w:type="character" w:styleId="BodyText2Char" w:customStyle="1">
    <w:name w:val="Body Text 2 Char"/>
    <w:basedOn w:val="DefaultParagraphFont"/>
    <w:link w:val="BodyText2"/>
    <w:uiPriority w:val="99"/>
    <w:semiHidden/>
    <w:qFormat/>
    <w:locked/>
    <w:rPr>
      <w:rFonts w:ascii="Palatino" w:hAnsi="Palatino" w:eastAsia="MS Mincho" w:cs="Palatino"/>
      <w:color w:val="000000"/>
      <w:sz w:val="24"/>
      <w:szCs w:val="24"/>
      <w:lang w:val="en-US" w:eastAsia="ja-JP"/>
    </w:rPr>
  </w:style>
  <w:style w:type="character" w:styleId="PlainTextChar" w:customStyle="1">
    <w:name w:val="Plain Text Char"/>
    <w:basedOn w:val="DefaultParagraphFont"/>
    <w:link w:val="PlainText"/>
    <w:uiPriority w:val="99"/>
    <w:semiHidden/>
    <w:qFormat/>
    <w:locked/>
    <w:rPr>
      <w:rFonts w:ascii="Courier New" w:hAnsi="Courier New" w:eastAsia="MS Mincho" w:cs="Courier New"/>
      <w:color w:val="000000"/>
      <w:lang w:val="en-US" w:eastAsia="ja-JP"/>
    </w:rPr>
  </w:style>
  <w:style w:type="character" w:styleId="BodyTextIndent2Char" w:customStyle="1">
    <w:name w:val="Body Text Indent 2 Char"/>
    <w:basedOn w:val="DefaultParagraphFont"/>
    <w:link w:val="BodyTextIndent2"/>
    <w:uiPriority w:val="99"/>
    <w:semiHidden/>
    <w:qFormat/>
    <w:locked/>
    <w:rPr>
      <w:rFonts w:ascii="Palatino" w:hAnsi="Palatino" w:eastAsia="MS Mincho" w:cs="Palatino"/>
      <w:color w:val="000000"/>
      <w:sz w:val="24"/>
      <w:szCs w:val="24"/>
      <w:lang w:val="en-US" w:eastAsia="ja-JP"/>
    </w:rPr>
  </w:style>
  <w:style w:type="character" w:styleId="BodyTextIndent3Char" w:customStyle="1">
    <w:name w:val="Body Text Indent 3 Char"/>
    <w:basedOn w:val="DefaultParagraphFont"/>
    <w:link w:val="BodyTextIndent3"/>
    <w:uiPriority w:val="99"/>
    <w:semiHidden/>
    <w:qFormat/>
    <w:locked/>
    <w:rPr>
      <w:rFonts w:ascii="Palatino" w:hAnsi="Palatino" w:eastAsia="MS Mincho" w:cs="Palatino"/>
      <w:color w:val="000000"/>
      <w:sz w:val="16"/>
      <w:szCs w:val="16"/>
      <w:lang w:val="en-US" w:eastAsia="ja-JP"/>
    </w:rPr>
  </w:style>
  <w:style w:type="character" w:styleId="HeaderChar" w:customStyle="1">
    <w:name w:val="Header Char"/>
    <w:basedOn w:val="DefaultParagraphFont"/>
    <w:link w:val="Header"/>
    <w:uiPriority w:val="99"/>
    <w:semiHidden/>
    <w:qFormat/>
    <w:locked/>
    <w:rPr>
      <w:rFonts w:ascii="Palatino" w:hAnsi="Palatino" w:eastAsia="MS Mincho" w:cs="Palatino"/>
      <w:color w:val="000000"/>
      <w:sz w:val="24"/>
      <w:szCs w:val="24"/>
      <w:lang w:val="en-US" w:eastAsia="ja-JP"/>
    </w:rPr>
  </w:style>
  <w:style w:type="character" w:styleId="FooterChar" w:customStyle="1">
    <w:name w:val="Footer Char"/>
    <w:basedOn w:val="DefaultParagraphFont"/>
    <w:link w:val="Footer"/>
    <w:uiPriority w:val="99"/>
    <w:semiHidden/>
    <w:qFormat/>
    <w:locked/>
    <w:rPr>
      <w:rFonts w:ascii="Palatino" w:hAnsi="Palatino" w:eastAsia="MS Minch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qFormat/>
    <w:rsid w:val="00274257"/>
    <w:rPr>
      <w:rFonts w:cs="Times New Roman"/>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link w:val="BodyText2Char"/>
    <w:uiPriority w:val="99"/>
    <w:qFormat/>
    <w:pPr>
      <w:ind w:firstLine="284"/>
    </w:pPr>
    <w:rPr>
      <w:sz w:val="22"/>
      <w:szCs w:val="22"/>
    </w:rPr>
  </w:style>
  <w:style w:type="paragraph" w:styleId="PlainText">
    <w:name w:val="Plain Text"/>
    <w:basedOn w:val="Normal"/>
    <w:link w:val="PlainTextChar"/>
    <w:uiPriority w:val="99"/>
    <w:qFormat/>
    <w:pPr>
      <w:jc w:val="start"/>
    </w:pPr>
    <w:rPr>
      <w:rFonts w:ascii="Courier New" w:hAnsi="Courier New" w:cs="Courier New"/>
      <w:color w:val="auto"/>
      <w:sz w:val="20"/>
      <w:szCs w:val="20"/>
    </w:rPr>
  </w:style>
  <w:style w:type="paragraph" w:styleId="BodyTextIndent2">
    <w:name w:val="Body Text Indent 2"/>
    <w:basedOn w:val="Normal"/>
    <w:link w:val="BodyTextIndent2Char"/>
    <w:uiPriority w:val="99"/>
    <w:qFormat/>
    <w:pPr>
      <w:ind w:firstLine="284"/>
      <w:jc w:val="start"/>
    </w:pPr>
    <w:rPr>
      <w:b/>
      <w:bCs/>
      <w:sz w:val="22"/>
      <w:szCs w:val="22"/>
    </w:rPr>
  </w:style>
  <w:style w:type="paragraph" w:styleId="BodyTextIndent3">
    <w:name w:val="Body Text Indent 3"/>
    <w:basedOn w:val="Normal"/>
    <w:link w:val="BodyTextIndent3Char"/>
    <w:uiPriority w:val="99"/>
    <w:qFormat/>
    <w:pPr>
      <w:ind w:firstLine="284"/>
    </w:pPr>
    <w:rPr>
      <w:rFonts w:ascii="Times New Roman" w:hAnsi="Times New Roman" w:cs="Times New Roman"/>
      <w:b/>
      <w:bCs/>
      <w:sz w:val="22"/>
      <w:szCs w:val="22"/>
    </w:rPr>
  </w:style>
  <w:style w:type="paragraph" w:styleId="HeaderandFooter">
    <w:name w:val="Header and Footer"/>
    <w:basedOn w:val="Normal"/>
    <w:qFormat/>
    <w:pPr/>
    <w:rPr/>
  </w:style>
  <w:style w:type="paragraph" w:styleId="Header">
    <w:name w:val="header"/>
    <w:basedOn w:val="Normal"/>
    <w:link w:val="HeaderChar"/>
    <w:uiPriority w:val="99"/>
    <w:rsid w:val="00e4528e"/>
    <w:pPr>
      <w:tabs>
        <w:tab w:val="clear" w:pos="708"/>
        <w:tab w:val="center" w:pos="4320" w:leader="none"/>
        <w:tab w:val="right" w:pos="8640" w:leader="none"/>
      </w:tabs>
    </w:pPr>
    <w:rPr/>
  </w:style>
  <w:style w:type="paragraph" w:styleId="Footer">
    <w:name w:val="footer"/>
    <w:basedOn w:val="Normal"/>
    <w:link w:val="FooterChar"/>
    <w:uiPriority w:val="99"/>
    <w:rsid w:val="00e4528e"/>
    <w:pPr>
      <w:tabs>
        <w:tab w:val="clear" w:pos="708"/>
        <w:tab w:val="center" w:pos="4320" w:leader="none"/>
        <w:tab w:val="right" w:pos="864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LibreOffice/25.8.6.2$Linux_X86_64 LibreOffice_project/a46b460d1686bb49c718d2ef5f88b83ff2dc4981</Application>
  <AppVersion>15.0000</AppVersion>
  <Pages>1</Pages>
  <Words>412</Words>
  <Characters>2513</Characters>
  <CharactersWithSpaces>2918</CharactersWithSpaces>
  <Paragraphs>14</Paragraphs>
  <Company>ICPM-6</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2026-01-08T10:24:00Z</dcterms:created>
  <dc:creator>ICPM-6</dc:creator>
  <dc:description/>
  <dc:language>en-GB</dc:language>
  <cp:lastModifiedBy/>
  <cp:lastPrinted>2016-01-14T19:34:00Z</cp:lastPrinted>
  <dcterms:modified xsi:type="dcterms:W3CDTF">2026-05-05T14:41:32Z</dcterms:modified>
  <cp:revision>5</cp:revision>
  <dc:subject/>
  <dc:title>Abstract Template for 6th International Conference on</dc:title>
</cp:coreProperties>
</file>

<file path=docProps/custom.xml><?xml version="1.0" encoding="utf-8"?>
<Properties xmlns="http://schemas.openxmlformats.org/officeDocument/2006/custom-properties" xmlns:vt="http://schemas.openxmlformats.org/officeDocument/2006/docPropsVTypes"/>
</file>