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CD323" w14:textId="26A932FA" w:rsidR="00455BDA" w:rsidRPr="00754209" w:rsidRDefault="00754209" w:rsidP="0075420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754209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Understanding the </w:t>
      </w:r>
      <w:r w:rsidR="00E0600A">
        <w:rPr>
          <w:rFonts w:ascii="Times New Roman" w:hAnsi="Times New Roman" w:cs="Times New Roman"/>
          <w:b/>
          <w:bCs/>
          <w:sz w:val="32"/>
          <w:szCs w:val="32"/>
          <w:lang w:val="en-GB"/>
        </w:rPr>
        <w:t>N</w:t>
      </w:r>
      <w:r w:rsidRPr="00754209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ature of </w:t>
      </w:r>
      <w:r w:rsidR="00E0600A">
        <w:rPr>
          <w:rFonts w:ascii="Times New Roman" w:hAnsi="Times New Roman" w:cs="Times New Roman"/>
          <w:b/>
          <w:bCs/>
          <w:sz w:val="32"/>
          <w:szCs w:val="32"/>
          <w:lang w:val="en-GB"/>
        </w:rPr>
        <w:t>H</w:t>
      </w:r>
      <w:r w:rsidRPr="00754209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ydration of </w:t>
      </w:r>
      <w:r w:rsidR="00E0600A">
        <w:rPr>
          <w:rFonts w:ascii="Times New Roman" w:hAnsi="Times New Roman" w:cs="Times New Roman"/>
          <w:b/>
          <w:bCs/>
          <w:sz w:val="32"/>
          <w:szCs w:val="32"/>
          <w:lang w:val="en-GB"/>
        </w:rPr>
        <w:t>A</w:t>
      </w:r>
      <w:r w:rsidRPr="00754209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queous </w:t>
      </w:r>
      <w:r w:rsidR="00E0600A">
        <w:rPr>
          <w:rFonts w:ascii="Times New Roman" w:hAnsi="Times New Roman" w:cs="Times New Roman"/>
          <w:b/>
          <w:bCs/>
          <w:sz w:val="32"/>
          <w:szCs w:val="32"/>
          <w:lang w:val="en-GB"/>
        </w:rPr>
        <w:t>A</w:t>
      </w:r>
      <w:r w:rsidRPr="00754209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lkali </w:t>
      </w:r>
      <w:r w:rsidR="00E0600A">
        <w:rPr>
          <w:rFonts w:ascii="Times New Roman" w:hAnsi="Times New Roman" w:cs="Times New Roman"/>
          <w:b/>
          <w:bCs/>
          <w:sz w:val="32"/>
          <w:szCs w:val="32"/>
          <w:lang w:val="en-GB"/>
        </w:rPr>
        <w:t>M</w:t>
      </w:r>
      <w:r w:rsidRPr="00754209">
        <w:rPr>
          <w:rFonts w:ascii="Times New Roman" w:hAnsi="Times New Roman" w:cs="Times New Roman"/>
          <w:b/>
          <w:bCs/>
          <w:sz w:val="32"/>
          <w:szCs w:val="32"/>
          <w:lang w:val="en-GB"/>
        </w:rPr>
        <w:t>eta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l </w:t>
      </w:r>
      <w:r w:rsidR="00E0600A">
        <w:rPr>
          <w:rFonts w:ascii="Times New Roman" w:hAnsi="Times New Roman" w:cs="Times New Roman"/>
          <w:b/>
          <w:bCs/>
          <w:sz w:val="32"/>
          <w:szCs w:val="32"/>
          <w:lang w:val="en-GB"/>
        </w:rPr>
        <w:t>C</w:t>
      </w:r>
      <w:r w:rsidRPr="00754209">
        <w:rPr>
          <w:rFonts w:ascii="Times New Roman" w:hAnsi="Times New Roman" w:cs="Times New Roman"/>
          <w:b/>
          <w:bCs/>
          <w:sz w:val="32"/>
          <w:szCs w:val="32"/>
          <w:lang w:val="en-GB"/>
        </w:rPr>
        <w:t>arbonates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 w:rsidR="00E0600A">
        <w:rPr>
          <w:rFonts w:ascii="Times New Roman" w:hAnsi="Times New Roman" w:cs="Times New Roman"/>
          <w:b/>
          <w:bCs/>
          <w:sz w:val="32"/>
          <w:szCs w:val="32"/>
          <w:lang w:val="en-GB"/>
        </w:rPr>
        <w:t>E</w:t>
      </w:r>
      <w:r w:rsidRPr="00754209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mploying </w:t>
      </w:r>
      <w:r w:rsidR="00E0600A">
        <w:rPr>
          <w:rFonts w:ascii="Times New Roman" w:hAnsi="Times New Roman" w:cs="Times New Roman"/>
          <w:b/>
          <w:bCs/>
          <w:sz w:val="32"/>
          <w:szCs w:val="32"/>
          <w:lang w:val="en-GB"/>
        </w:rPr>
        <w:t>M</w:t>
      </w:r>
      <w:r w:rsidRPr="00754209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olecular </w:t>
      </w:r>
      <w:r w:rsidR="00E0600A">
        <w:rPr>
          <w:rFonts w:ascii="Times New Roman" w:hAnsi="Times New Roman" w:cs="Times New Roman"/>
          <w:b/>
          <w:bCs/>
          <w:sz w:val="32"/>
          <w:szCs w:val="32"/>
          <w:lang w:val="en-GB"/>
        </w:rPr>
        <w:t>D</w:t>
      </w:r>
      <w:r w:rsidRPr="00754209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ynamics </w:t>
      </w:r>
      <w:r w:rsidR="00E0600A">
        <w:rPr>
          <w:rFonts w:ascii="Times New Roman" w:hAnsi="Times New Roman" w:cs="Times New Roman"/>
          <w:b/>
          <w:bCs/>
          <w:sz w:val="32"/>
          <w:szCs w:val="32"/>
          <w:lang w:val="en-GB"/>
        </w:rPr>
        <w:t>S</w:t>
      </w:r>
      <w:r w:rsidRPr="00754209">
        <w:rPr>
          <w:rFonts w:ascii="Times New Roman" w:hAnsi="Times New Roman" w:cs="Times New Roman"/>
          <w:b/>
          <w:bCs/>
          <w:sz w:val="32"/>
          <w:szCs w:val="32"/>
          <w:lang w:val="en-GB"/>
        </w:rPr>
        <w:t>imulations</w:t>
      </w:r>
    </w:p>
    <w:p w14:paraId="1A0CA794" w14:textId="77777777" w:rsidR="00455BDA" w:rsidRPr="00414C25" w:rsidRDefault="00455BDA">
      <w:pPr>
        <w:jc w:val="center"/>
        <w:rPr>
          <w:rFonts w:ascii="Times New Roman" w:hAnsi="Times New Roman" w:cs="Times New Roman"/>
          <w:sz w:val="20"/>
          <w:szCs w:val="20"/>
          <w:lang w:val="en-GB"/>
        </w:rPr>
      </w:pPr>
    </w:p>
    <w:p w14:paraId="7285A5A4" w14:textId="6C76830F" w:rsidR="00455BDA" w:rsidRPr="004F11F3" w:rsidRDefault="004F11F3">
      <w:pPr>
        <w:jc w:val="center"/>
        <w:rPr>
          <w:rFonts w:ascii="Times New Roman" w:hAnsi="Times New Roman" w:cs="Times New Roman"/>
          <w:b/>
          <w:bCs/>
          <w:vertAlign w:val="superscript"/>
          <w:lang w:val="en-GB"/>
        </w:rPr>
      </w:pPr>
      <w:r w:rsidRPr="004F11F3">
        <w:rPr>
          <w:rFonts w:ascii="Times New Roman" w:hAnsi="Times New Roman" w:cs="Times New Roman"/>
          <w:b/>
          <w:bCs/>
          <w:u w:val="single"/>
          <w:lang w:val="en-GB"/>
        </w:rPr>
        <w:t>Pujarini Mahapatra</w:t>
      </w:r>
      <w:r w:rsidR="00455BDA" w:rsidRPr="004F11F3">
        <w:rPr>
          <w:rFonts w:ascii="Times New Roman" w:hAnsi="Times New Roman" w:cs="Times New Roman"/>
          <w:b/>
          <w:bCs/>
          <w:u w:val="single"/>
          <w:vertAlign w:val="superscript"/>
          <w:lang w:val="en-GB"/>
        </w:rPr>
        <w:t>1</w:t>
      </w:r>
      <w:r w:rsidR="00455BDA" w:rsidRPr="00414C25">
        <w:rPr>
          <w:rFonts w:ascii="Times New Roman" w:hAnsi="Times New Roman" w:cs="Times New Roman"/>
          <w:b/>
          <w:bCs/>
          <w:lang w:val="en-GB"/>
        </w:rPr>
        <w:t xml:space="preserve">, </w:t>
      </w:r>
      <w:r>
        <w:rPr>
          <w:rFonts w:ascii="Times New Roman" w:hAnsi="Times New Roman" w:cs="Times New Roman"/>
          <w:b/>
          <w:bCs/>
          <w:lang w:val="en-GB"/>
        </w:rPr>
        <w:t>P. Padma Kumar</w:t>
      </w:r>
      <w:r>
        <w:rPr>
          <w:rFonts w:ascii="Times New Roman" w:hAnsi="Times New Roman" w:cs="Times New Roman"/>
          <w:b/>
          <w:bCs/>
          <w:vertAlign w:val="superscript"/>
          <w:lang w:val="en-GB"/>
        </w:rPr>
        <w:t>1</w:t>
      </w:r>
    </w:p>
    <w:p w14:paraId="38B9A890" w14:textId="1A6CF4A8" w:rsidR="00455BDA" w:rsidRPr="00414C25" w:rsidRDefault="00455BDA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1</w:t>
      </w:r>
      <w:r w:rsidR="004F11F3" w:rsidRPr="004F11F3">
        <w:t xml:space="preserve"> </w:t>
      </w:r>
      <w:r w:rsidR="004F11F3" w:rsidRPr="004F11F3">
        <w:rPr>
          <w:rFonts w:ascii="Times New Roman" w:hAnsi="Times New Roman" w:cs="Times New Roman"/>
          <w:sz w:val="22"/>
          <w:szCs w:val="22"/>
          <w:lang w:val="en-GB"/>
        </w:rPr>
        <w:t>Department of Physics, Indian Institute of Technology Guwahati, 781039, Assam, India</w:t>
      </w:r>
    </w:p>
    <w:p w14:paraId="06CC5B4D" w14:textId="1DFDB7C8" w:rsidR="0085659C" w:rsidRDefault="0085659C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lang w:val="en-GB"/>
        </w:rPr>
        <w:t xml:space="preserve">e-mail: </w:t>
      </w:r>
      <w:r w:rsidR="00754209" w:rsidRPr="00754209">
        <w:rPr>
          <w:rFonts w:ascii="Times New Roman" w:hAnsi="Times New Roman" w:cs="Times New Roman"/>
          <w:sz w:val="22"/>
          <w:szCs w:val="22"/>
          <w:lang w:val="en-GB"/>
        </w:rPr>
        <w:t>pujarini.mhapatra@iitg.ac.in</w:t>
      </w:r>
    </w:p>
    <w:p w14:paraId="68D73BE3" w14:textId="77777777" w:rsidR="00455BDA" w:rsidRPr="00414C25" w:rsidRDefault="00455BDA" w:rsidP="00BB249C">
      <w:pPr>
        <w:jc w:val="left"/>
        <w:rPr>
          <w:rFonts w:ascii="Times New Roman" w:hAnsi="Times New Roman" w:cs="Times New Roman"/>
          <w:lang w:val="en-GB"/>
        </w:rPr>
      </w:pPr>
    </w:p>
    <w:p w14:paraId="2B8922FA" w14:textId="6C6E973F" w:rsidR="001D6541" w:rsidRDefault="00BB249C" w:rsidP="004F11F3">
      <w:pPr>
        <w:pStyle w:val="BodyText2"/>
        <w:ind w:firstLine="0"/>
        <w:jc w:val="left"/>
        <w:rPr>
          <w:rFonts w:ascii="Times New Roman" w:hAnsi="Times New Roman" w:cs="Times New Roman"/>
          <w:sz w:val="24"/>
          <w:szCs w:val="24"/>
        </w:rPr>
      </w:pPr>
      <w:r w:rsidRPr="004F11F3">
        <w:rPr>
          <w:rFonts w:ascii="Times New Roman" w:hAnsi="Times New Roman" w:cs="Times New Roman"/>
          <w:sz w:val="24"/>
          <w:szCs w:val="24"/>
          <w:lang w:val="en-GB"/>
        </w:rPr>
        <w:t>Aqueous alkali metal carbonates (M</w:t>
      </w:r>
      <w:r w:rsidRPr="004F11F3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2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>CO</w:t>
      </w:r>
      <w:r w:rsidRPr="004F11F3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3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>, where M = Li</w:t>
      </w:r>
      <w:r w:rsidRPr="004F11F3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+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>, Na</w:t>
      </w:r>
      <w:r w:rsidRPr="004F11F3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+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>, and K</w:t>
      </w:r>
      <w:r w:rsidRPr="004F11F3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+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>) have attracted significant attention due to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>their critical role in CO</w:t>
      </w:r>
      <w:r w:rsidRPr="004F11F3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2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 xml:space="preserve"> capture, energy storage, and various industrial processes. Despite extensive experimental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>progress in understanding their macroscopic properties, the molecular-level mechanisms governing solvation and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 xml:space="preserve">ion-association </w:t>
      </w:r>
      <w:r w:rsidR="005643BD" w:rsidRPr="004F11F3">
        <w:rPr>
          <w:rFonts w:ascii="Times New Roman" w:hAnsi="Times New Roman" w:cs="Times New Roman"/>
          <w:sz w:val="24"/>
          <w:szCs w:val="24"/>
          <w:lang w:val="en-GB"/>
        </w:rPr>
        <w:t>behaviour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 xml:space="preserve"> in these systems with varying concentrations remain largely unexplored. To address this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>gap, we present a comprehensive molecular dynamics (MD) investigation of aqueous Li</w:t>
      </w:r>
      <w:r w:rsidRPr="004F11F3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2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>CO</w:t>
      </w:r>
      <w:r w:rsidRPr="004F11F3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3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>, Na</w:t>
      </w:r>
      <w:r w:rsidRPr="004F11F3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2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>CO</w:t>
      </w:r>
      <w:r w:rsidRPr="004F11F3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3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>, and K</w:t>
      </w:r>
      <w:r w:rsidRPr="004F11F3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2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>CO</w:t>
      </w:r>
      <w:r w:rsidRPr="004F11F3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3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>using a refined force field model, validated against the experimental solubility limits of the respective salts. The study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>highlights how the local environment of carbonate ions (CO</w:t>
      </w:r>
      <w:r w:rsidRPr="004F11F3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3</w:t>
      </w:r>
      <w:r w:rsidRPr="004F11F3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2-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>) evolves with solute concentration, providing fresh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>insights into the role of alkali metal cations in promoting the self-aggregation of carbonates. The trajectory analysis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>predicts that the mobility of all the solute and solvent species decreases with concentration, leading to the co-movement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>of cations and carbonate ions near their solubility limit. Notably, Li</w:t>
      </w:r>
      <w:r w:rsidRPr="004F11F3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+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 xml:space="preserve"> exhibits anomalously slow diffusion compared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>to the larger Na</w:t>
      </w:r>
      <w:r w:rsidRPr="004F11F3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+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 xml:space="preserve"> and K</w:t>
      </w:r>
      <w:r w:rsidRPr="004F11F3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+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 xml:space="preserve"> ions, owing to its stronger association with carbonate ions, which is consistent with the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>experimentally observed low solubility of Li</w:t>
      </w:r>
      <w:r w:rsidRPr="004F11F3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2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>CO</w:t>
      </w:r>
      <w:r w:rsidRPr="004F11F3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3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 xml:space="preserve"> in water. This </w:t>
      </w:r>
      <w:r w:rsidR="005643BD" w:rsidRPr="004F11F3">
        <w:rPr>
          <w:rFonts w:ascii="Times New Roman" w:hAnsi="Times New Roman" w:cs="Times New Roman"/>
          <w:sz w:val="24"/>
          <w:szCs w:val="24"/>
          <w:lang w:val="en-GB"/>
        </w:rPr>
        <w:t>behaviour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 xml:space="preserve"> is attributed to the size-sensitive “hardness”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>of the hydration shells of cations, corroborated in terms of the water residence times in their first hydration shells.</w:t>
      </w:r>
      <w:r w:rsidRPr="004F11F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F11F3" w:rsidRPr="004F11F3">
        <w:rPr>
          <w:rFonts w:ascii="Times New Roman" w:hAnsi="Times New Roman" w:cs="Times New Roman"/>
          <w:sz w:val="24"/>
          <w:szCs w:val="24"/>
        </w:rPr>
        <w:t>In addition, enhanced sampling via umbrella sampling is employed to compute the free energy profile of CO₂ transfer across the gas–liquid interface, revealing the thermodynamic preference and solubility of CO₂ in carbonate media. This provides molecular-level insight into the energetics governing CO₂ absorption in carbonate-based capture systems.</w:t>
      </w:r>
      <w:r w:rsidR="00BF783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</w:t>
      </w:r>
    </w:p>
    <w:p w14:paraId="25947ED9" w14:textId="77777777" w:rsidR="005643BD" w:rsidRDefault="005643BD" w:rsidP="004F11F3">
      <w:pPr>
        <w:pStyle w:val="BodyText2"/>
        <w:ind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3D7219D2" w14:textId="00254501" w:rsidR="001D6541" w:rsidRPr="004F11F3" w:rsidRDefault="00BF7839" w:rsidP="00BF7839">
      <w:pPr>
        <w:pStyle w:val="BodyText2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BF783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41AB7D" wp14:editId="4A883FA8">
            <wp:extent cx="4334813" cy="2701636"/>
            <wp:effectExtent l="0" t="0" r="0" b="3810"/>
            <wp:docPr id="97693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35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5317" cy="272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B3A6" w14:textId="5A41E785" w:rsidR="002D2CBB" w:rsidRPr="005643BD" w:rsidRDefault="00274257" w:rsidP="005643BD">
      <w:pPr>
        <w:pStyle w:val="BodyText2"/>
        <w:ind w:firstLine="0"/>
        <w:jc w:val="left"/>
        <w:rPr>
          <w:rFonts w:ascii="Times New Roman" w:hAnsi="Times New Roman" w:cs="Times New Roman"/>
          <w:bCs/>
          <w:i/>
          <w:color w:val="auto"/>
          <w:lang w:val="en-GB"/>
        </w:rPr>
      </w:pPr>
      <w:r w:rsidRPr="0061348E">
        <w:rPr>
          <w:rFonts w:ascii="Times New Roman" w:hAnsi="Times New Roman" w:cs="Times New Roman"/>
          <w:b/>
          <w:bCs/>
          <w:i/>
          <w:color w:val="auto"/>
          <w:lang w:val="en-GB"/>
        </w:rPr>
        <w:t>Figure 1</w:t>
      </w:r>
      <w:r w:rsidRPr="0061348E">
        <w:rPr>
          <w:rFonts w:ascii="Times New Roman" w:hAnsi="Times New Roman" w:cs="Times New Roman"/>
          <w:bCs/>
          <w:i/>
          <w:color w:val="auto"/>
          <w:lang w:val="en-GB"/>
        </w:rPr>
        <w:t xml:space="preserve"> – </w:t>
      </w:r>
      <w:r w:rsidR="005F602D" w:rsidRPr="005F602D">
        <w:rPr>
          <w:rFonts w:ascii="Times New Roman" w:hAnsi="Times New Roman" w:cs="Times New Roman"/>
          <w:bCs/>
          <w:i/>
          <w:color w:val="auto"/>
        </w:rPr>
        <w:t xml:space="preserve">Left: Hydration </w:t>
      </w:r>
      <w:proofErr w:type="spellStart"/>
      <w:r w:rsidR="005F602D" w:rsidRPr="005F602D">
        <w:rPr>
          <w:rFonts w:ascii="Times New Roman" w:hAnsi="Times New Roman" w:cs="Times New Roman"/>
          <w:bCs/>
          <w:i/>
          <w:color w:val="auto"/>
        </w:rPr>
        <w:t>isosurfaces</w:t>
      </w:r>
      <w:proofErr w:type="spellEnd"/>
      <w:r w:rsidR="005F602D" w:rsidRPr="005F602D">
        <w:rPr>
          <w:rFonts w:ascii="Times New Roman" w:hAnsi="Times New Roman" w:cs="Times New Roman"/>
          <w:bCs/>
          <w:i/>
          <w:color w:val="auto"/>
        </w:rPr>
        <w:t xml:space="preserve"> around CO₃²⁻ at low (dilute) and high (beyond solubility) concentrations</w:t>
      </w:r>
      <w:r w:rsidR="005F602D">
        <w:rPr>
          <w:rFonts w:ascii="Times New Roman" w:hAnsi="Times New Roman" w:cs="Times New Roman"/>
          <w:bCs/>
          <w:i/>
          <w:color w:val="auto"/>
        </w:rPr>
        <w:t xml:space="preserve"> with</w:t>
      </w:r>
      <w:r w:rsidR="005F602D" w:rsidRPr="005F602D">
        <w:rPr>
          <w:rFonts w:ascii="Times New Roman" w:hAnsi="Times New Roman" w:cs="Times New Roman"/>
          <w:bCs/>
          <w:i/>
          <w:color w:val="auto"/>
        </w:rPr>
        <w:t xml:space="preserve"> </w:t>
      </w:r>
      <w:r w:rsidR="005F602D">
        <w:rPr>
          <w:rFonts w:ascii="Times New Roman" w:hAnsi="Times New Roman" w:cs="Times New Roman"/>
          <w:bCs/>
          <w:i/>
          <w:color w:val="auto"/>
        </w:rPr>
        <w:t>c</w:t>
      </w:r>
      <w:r w:rsidR="005F602D" w:rsidRPr="005F602D">
        <w:rPr>
          <w:rFonts w:ascii="Times New Roman" w:hAnsi="Times New Roman" w:cs="Times New Roman"/>
          <w:bCs/>
          <w:i/>
          <w:color w:val="auto"/>
        </w:rPr>
        <w:t xml:space="preserve">orresponding simulation snapshots showing the </w:t>
      </w:r>
      <w:r w:rsidR="005643BD" w:rsidRPr="005643BD">
        <w:rPr>
          <w:rFonts w:ascii="Times New Roman" w:hAnsi="Times New Roman" w:cs="Times New Roman"/>
          <w:bCs/>
          <w:i/>
          <w:color w:val="auto"/>
        </w:rPr>
        <w:t>transition from dispersed ions to aggregates</w:t>
      </w:r>
      <w:r w:rsidR="005F602D" w:rsidRPr="005F602D">
        <w:rPr>
          <w:rFonts w:ascii="Times New Roman" w:hAnsi="Times New Roman" w:cs="Times New Roman"/>
          <w:bCs/>
          <w:i/>
          <w:color w:val="auto"/>
        </w:rPr>
        <w:t xml:space="preserve">. Right: Carbonate–carbonate RDFs (solid lines) and coordination numbers, RCNs (dashed lines), for C···C correlations in aqueous </w:t>
      </w:r>
      <w:proofErr w:type="spellStart"/>
      <w:r w:rsidR="005F602D" w:rsidRPr="005F602D">
        <w:rPr>
          <w:rFonts w:ascii="Times New Roman" w:hAnsi="Times New Roman" w:cs="Times New Roman"/>
          <w:bCs/>
          <w:i/>
          <w:color w:val="auto"/>
        </w:rPr>
        <w:t>Li₂CO</w:t>
      </w:r>
      <w:proofErr w:type="spellEnd"/>
      <w:r w:rsidR="005F602D" w:rsidRPr="005F602D">
        <w:rPr>
          <w:rFonts w:ascii="Times New Roman" w:hAnsi="Times New Roman" w:cs="Times New Roman"/>
          <w:bCs/>
          <w:i/>
          <w:color w:val="auto"/>
        </w:rPr>
        <w:t xml:space="preserve">₃, </w:t>
      </w:r>
      <w:proofErr w:type="spellStart"/>
      <w:r w:rsidR="005F602D" w:rsidRPr="005F602D">
        <w:rPr>
          <w:rFonts w:ascii="Times New Roman" w:hAnsi="Times New Roman" w:cs="Times New Roman"/>
          <w:bCs/>
          <w:i/>
          <w:color w:val="auto"/>
        </w:rPr>
        <w:t>Na₂CO</w:t>
      </w:r>
      <w:proofErr w:type="spellEnd"/>
      <w:r w:rsidR="005F602D" w:rsidRPr="005F602D">
        <w:rPr>
          <w:rFonts w:ascii="Times New Roman" w:hAnsi="Times New Roman" w:cs="Times New Roman"/>
          <w:bCs/>
          <w:i/>
          <w:color w:val="auto"/>
        </w:rPr>
        <w:t>₃, and K₂CO₃, quantifying enhanced ion aggregation at higher concentrations.</w:t>
      </w:r>
    </w:p>
    <w:p w14:paraId="5C3BED6D" w14:textId="77777777" w:rsidR="00455BDA" w:rsidRPr="006A41DD" w:rsidRDefault="00455BDA" w:rsidP="00AF4C78">
      <w:pPr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b/>
          <w:bCs/>
          <w:lang w:val="en-GB"/>
        </w:rPr>
        <w:t>References</w:t>
      </w:r>
    </w:p>
    <w:p w14:paraId="260DCA1B" w14:textId="77777777" w:rsidR="005643BD" w:rsidRDefault="00AD0CB5" w:rsidP="005643BD">
      <w:pPr>
        <w:ind w:left="426" w:right="-2" w:hanging="426"/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lang w:val="en-GB"/>
        </w:rPr>
        <w:t>[1]</w:t>
      </w:r>
      <w:r w:rsidRPr="006A41DD">
        <w:rPr>
          <w:rFonts w:ascii="Times New Roman" w:hAnsi="Times New Roman" w:cs="Times New Roman"/>
          <w:lang w:val="en-GB"/>
        </w:rPr>
        <w:tab/>
      </w:r>
      <w:r w:rsidR="005643BD" w:rsidRPr="005643BD">
        <w:rPr>
          <w:rFonts w:ascii="Times New Roman" w:hAnsi="Times New Roman" w:cs="Times New Roman"/>
          <w:lang w:val="en-GB"/>
        </w:rPr>
        <w:t>P. Mahapatra and P. P. Kumar, Chemical Engineering Science,</w:t>
      </w:r>
      <w:r w:rsidR="005643BD">
        <w:rPr>
          <w:rFonts w:ascii="Times New Roman" w:hAnsi="Times New Roman" w:cs="Times New Roman"/>
          <w:lang w:val="en-GB"/>
        </w:rPr>
        <w:t xml:space="preserve"> </w:t>
      </w:r>
      <w:r w:rsidR="005643BD" w:rsidRPr="005643BD">
        <w:rPr>
          <w:rFonts w:ascii="Times New Roman" w:hAnsi="Times New Roman" w:cs="Times New Roman"/>
          <w:lang w:val="en-GB"/>
        </w:rPr>
        <w:t>2026, 123914.</w:t>
      </w:r>
    </w:p>
    <w:p w14:paraId="74442AFB" w14:textId="3B9091C8" w:rsidR="009B7FE3" w:rsidRPr="005643BD" w:rsidRDefault="00AD0CB5" w:rsidP="005643BD">
      <w:pPr>
        <w:ind w:left="426" w:right="-2" w:hanging="426"/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lang w:val="en-GB"/>
        </w:rPr>
        <w:t>[2]</w:t>
      </w:r>
      <w:r w:rsidRPr="006A41DD">
        <w:rPr>
          <w:rFonts w:ascii="Times New Roman" w:hAnsi="Times New Roman" w:cs="Times New Roman"/>
          <w:lang w:val="en-GB"/>
        </w:rPr>
        <w:tab/>
      </w:r>
      <w:r w:rsidR="005643BD" w:rsidRPr="005643BD">
        <w:rPr>
          <w:rFonts w:ascii="Times New Roman" w:hAnsi="Times New Roman" w:cs="Times New Roman"/>
          <w:lang w:val="en-GB"/>
        </w:rPr>
        <w:t xml:space="preserve">P. P. Kumar, A. G. </w:t>
      </w:r>
      <w:proofErr w:type="spellStart"/>
      <w:r w:rsidR="005643BD" w:rsidRPr="005643BD">
        <w:rPr>
          <w:rFonts w:ascii="Times New Roman" w:hAnsi="Times New Roman" w:cs="Times New Roman"/>
          <w:lang w:val="en-GB"/>
        </w:rPr>
        <w:t>Kalinichev</w:t>
      </w:r>
      <w:proofErr w:type="spellEnd"/>
      <w:r w:rsidR="005643BD" w:rsidRPr="005643BD">
        <w:rPr>
          <w:rFonts w:ascii="Times New Roman" w:hAnsi="Times New Roman" w:cs="Times New Roman"/>
          <w:lang w:val="en-GB"/>
        </w:rPr>
        <w:t xml:space="preserve"> and R. J. Kirkpatrick, The Journal</w:t>
      </w:r>
      <w:r w:rsidR="005643BD">
        <w:rPr>
          <w:rFonts w:ascii="Times New Roman" w:hAnsi="Times New Roman" w:cs="Times New Roman"/>
          <w:lang w:val="en-GB"/>
        </w:rPr>
        <w:t xml:space="preserve"> </w:t>
      </w:r>
      <w:r w:rsidR="005643BD" w:rsidRPr="005643BD">
        <w:rPr>
          <w:rFonts w:ascii="Times New Roman" w:hAnsi="Times New Roman" w:cs="Times New Roman"/>
          <w:lang w:val="en-GB"/>
        </w:rPr>
        <w:t>of Physical Chemistry B, 2009, 113, 794–802.</w:t>
      </w:r>
      <w:r w:rsidR="005643BD" w:rsidRPr="005643BD">
        <w:rPr>
          <w:rFonts w:ascii="Times New Roman" w:hAnsi="Times New Roman" w:cs="Times New Roman"/>
          <w:lang w:val="en-GB"/>
        </w:rPr>
        <w:t xml:space="preserve"> </w:t>
      </w:r>
    </w:p>
    <w:sectPr w:rsidR="009B7FE3" w:rsidRPr="005643BD" w:rsidSect="000E068C">
      <w:headerReference w:type="first" r:id="rId8"/>
      <w:type w:val="continuous"/>
      <w:pgSz w:w="11907" w:h="16840" w:code="9"/>
      <w:pgMar w:top="1134" w:right="1134" w:bottom="1134" w:left="1134" w:header="454" w:footer="454" w:gutter="113"/>
      <w:cols w:space="283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DB865" w14:textId="77777777" w:rsidR="00736BBA" w:rsidRDefault="00736BBA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173FE30D" w14:textId="77777777" w:rsidR="00736BBA" w:rsidRDefault="00736BBA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Book Antiqua"/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60BFE" w14:textId="77777777" w:rsidR="00736BBA" w:rsidRDefault="00736BBA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5774F36B" w14:textId="77777777" w:rsidR="00736BBA" w:rsidRDefault="00736BBA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FB8F7" w14:textId="77777777" w:rsidR="005C305C" w:rsidRPr="005C305C" w:rsidRDefault="009D76BD" w:rsidP="005C305C">
    <w:pPr>
      <w:pStyle w:val="Header"/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European Molecular Liquids Group and Japanese Molecular Liquids Group Annual Meeting (EMLG/JMLG 2026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)</w:t>
    </w:r>
  </w:p>
  <w:p w14:paraId="30C7B75E" w14:textId="77777777" w:rsidR="00121503" w:rsidRPr="005C305C" w:rsidRDefault="009D76BD" w:rsidP="005C305C">
    <w:pPr>
      <w:pStyle w:val="Header"/>
      <w:tabs>
        <w:tab w:val="clear" w:pos="4320"/>
      </w:tabs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Glasgow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(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UK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), </w:t>
    </w:r>
    <w:proofErr w:type="gramStart"/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31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proofErr w:type="gramEnd"/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August – 4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proofErr w:type="gramStart"/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September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,</w:t>
    </w:r>
    <w:proofErr w:type="gramEnd"/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202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F4434"/>
    <w:multiLevelType w:val="hybridMultilevel"/>
    <w:tmpl w:val="91025D78"/>
    <w:lvl w:ilvl="0" w:tplc="040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 w16cid:durableId="1038317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12"/>
    <w:rsid w:val="000908E8"/>
    <w:rsid w:val="000D2FA6"/>
    <w:rsid w:val="000E068C"/>
    <w:rsid w:val="000E2212"/>
    <w:rsid w:val="001074BF"/>
    <w:rsid w:val="00121503"/>
    <w:rsid w:val="00193928"/>
    <w:rsid w:val="001D6541"/>
    <w:rsid w:val="00231302"/>
    <w:rsid w:val="00253636"/>
    <w:rsid w:val="00263205"/>
    <w:rsid w:val="00274257"/>
    <w:rsid w:val="002A2BE3"/>
    <w:rsid w:val="002D2CBB"/>
    <w:rsid w:val="002E2D20"/>
    <w:rsid w:val="00347A46"/>
    <w:rsid w:val="00353EAC"/>
    <w:rsid w:val="00365F82"/>
    <w:rsid w:val="00414C25"/>
    <w:rsid w:val="00455BDA"/>
    <w:rsid w:val="00464BEB"/>
    <w:rsid w:val="004931DE"/>
    <w:rsid w:val="004B6472"/>
    <w:rsid w:val="004C64EB"/>
    <w:rsid w:val="004E30A4"/>
    <w:rsid w:val="004F11F3"/>
    <w:rsid w:val="00501487"/>
    <w:rsid w:val="005469D9"/>
    <w:rsid w:val="005545FA"/>
    <w:rsid w:val="005643BD"/>
    <w:rsid w:val="00586A94"/>
    <w:rsid w:val="005A089E"/>
    <w:rsid w:val="005B2556"/>
    <w:rsid w:val="005C305C"/>
    <w:rsid w:val="005C41E1"/>
    <w:rsid w:val="005F602D"/>
    <w:rsid w:val="005F7FCC"/>
    <w:rsid w:val="0061348E"/>
    <w:rsid w:val="00641F63"/>
    <w:rsid w:val="0066218E"/>
    <w:rsid w:val="006A41DD"/>
    <w:rsid w:val="006B6FA2"/>
    <w:rsid w:val="006C3A1F"/>
    <w:rsid w:val="006D29C2"/>
    <w:rsid w:val="00736BBA"/>
    <w:rsid w:val="00736CAF"/>
    <w:rsid w:val="00754209"/>
    <w:rsid w:val="00790F76"/>
    <w:rsid w:val="007C1576"/>
    <w:rsid w:val="007C5B23"/>
    <w:rsid w:val="007D40D8"/>
    <w:rsid w:val="007F6CCF"/>
    <w:rsid w:val="00803424"/>
    <w:rsid w:val="0081503C"/>
    <w:rsid w:val="00835925"/>
    <w:rsid w:val="008373DC"/>
    <w:rsid w:val="0085659C"/>
    <w:rsid w:val="008A5395"/>
    <w:rsid w:val="008B09B5"/>
    <w:rsid w:val="0099331B"/>
    <w:rsid w:val="009B4373"/>
    <w:rsid w:val="009B7FE3"/>
    <w:rsid w:val="009D652E"/>
    <w:rsid w:val="009D76BD"/>
    <w:rsid w:val="009E270C"/>
    <w:rsid w:val="009E5FC0"/>
    <w:rsid w:val="009F2461"/>
    <w:rsid w:val="00A462F7"/>
    <w:rsid w:val="00A557B0"/>
    <w:rsid w:val="00A805D7"/>
    <w:rsid w:val="00AA11ED"/>
    <w:rsid w:val="00AC16A9"/>
    <w:rsid w:val="00AD0CB5"/>
    <w:rsid w:val="00AF1145"/>
    <w:rsid w:val="00AF4C78"/>
    <w:rsid w:val="00B70E27"/>
    <w:rsid w:val="00BB249C"/>
    <w:rsid w:val="00BF7839"/>
    <w:rsid w:val="00C75D52"/>
    <w:rsid w:val="00CB1F1E"/>
    <w:rsid w:val="00CB6020"/>
    <w:rsid w:val="00CD29C8"/>
    <w:rsid w:val="00CF44D8"/>
    <w:rsid w:val="00CF7596"/>
    <w:rsid w:val="00D334E6"/>
    <w:rsid w:val="00D412F4"/>
    <w:rsid w:val="00D656A7"/>
    <w:rsid w:val="00D808D2"/>
    <w:rsid w:val="00D8300D"/>
    <w:rsid w:val="00D90AA2"/>
    <w:rsid w:val="00E0600A"/>
    <w:rsid w:val="00E4528E"/>
    <w:rsid w:val="00E519B2"/>
    <w:rsid w:val="00E80C4B"/>
    <w:rsid w:val="00E931EB"/>
    <w:rsid w:val="00ED3DD1"/>
    <w:rsid w:val="00EE08EF"/>
    <w:rsid w:val="00EE79AA"/>
    <w:rsid w:val="00EF2E31"/>
    <w:rsid w:val="00EF7B5E"/>
    <w:rsid w:val="00F0375E"/>
    <w:rsid w:val="00F05855"/>
    <w:rsid w:val="00F778AE"/>
    <w:rsid w:val="00F83434"/>
    <w:rsid w:val="00F932FB"/>
    <w:rsid w:val="00FC091B"/>
    <w:rsid w:val="00FD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C4599F"/>
  <w14:defaultImageDpi w14:val="0"/>
  <w15:docId w15:val="{B099DFF7-1845-4979-84AA-30C0C538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  <w:jc w:val="both"/>
    </w:pPr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rFonts w:ascii="Times New Roman" w:hAnsi="Times New Roman" w:cs="Times New Roman"/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pPr>
      <w:ind w:firstLine="284"/>
    </w:pPr>
    <w:rPr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PlainText">
    <w:name w:val="Plain Text"/>
    <w:basedOn w:val="Normal"/>
    <w:link w:val="PlainTextChar"/>
    <w:uiPriority w:val="99"/>
    <w:pPr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Pr>
      <w:rFonts w:ascii="Courier New" w:eastAsia="MS Mincho" w:hAnsi="Courier New" w:cs="Courier New"/>
      <w:color w:val="000000"/>
      <w:lang w:val="en-US" w:eastAsia="ja-JP"/>
    </w:rPr>
  </w:style>
  <w:style w:type="paragraph" w:styleId="BodyTextIndent2">
    <w:name w:val="Body Text Indent 2"/>
    <w:basedOn w:val="Normal"/>
    <w:link w:val="BodyTextIndent2Char"/>
    <w:uiPriority w:val="99"/>
    <w:pPr>
      <w:ind w:firstLine="284"/>
      <w:jc w:val="left"/>
    </w:pPr>
    <w:rPr>
      <w:b/>
      <w:bCs/>
      <w:sz w:val="22"/>
      <w:szCs w:val="22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BodyTextIndent3">
    <w:name w:val="Body Text Indent 3"/>
    <w:basedOn w:val="Normal"/>
    <w:link w:val="BodyTextIndent3Char"/>
    <w:uiPriority w:val="99"/>
    <w:pPr>
      <w:ind w:firstLine="284"/>
    </w:pPr>
    <w:rPr>
      <w:rFonts w:ascii="Times New Roman" w:hAnsi="Times New Roman" w:cs="Times New Roman"/>
      <w:b/>
      <w:bCs/>
      <w:sz w:val="22"/>
      <w:szCs w:val="22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locked/>
    <w:rPr>
      <w:rFonts w:ascii="Palatino" w:eastAsia="MS Mincho" w:hAnsi="Palatino" w:cs="Palatino"/>
      <w:color w:val="000000"/>
      <w:sz w:val="16"/>
      <w:szCs w:val="16"/>
      <w:lang w:val="en-US" w:eastAsia="ja-JP"/>
    </w:rPr>
  </w:style>
  <w:style w:type="paragraph" w:styleId="Header">
    <w:name w:val="header"/>
    <w:basedOn w:val="Normal"/>
    <w:link w:val="HeaderChar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Footer">
    <w:name w:val="footer"/>
    <w:basedOn w:val="Normal"/>
    <w:link w:val="FooterChar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character" w:styleId="PageNumber">
    <w:name w:val="page number"/>
    <w:basedOn w:val="DefaultParagraphFont"/>
    <w:uiPriority w:val="99"/>
    <w:rsid w:val="00E4528E"/>
    <w:rPr>
      <w:rFonts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274257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Abstract Template for 6th International Conference on</vt:lpstr>
    </vt:vector>
  </TitlesOfParts>
  <Company>ICPM-6</Company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Template for 6th International Conference on</dc:title>
  <dc:subject/>
  <dc:creator>ICPM-6</dc:creator>
  <cp:keywords/>
  <dc:description/>
  <cp:lastModifiedBy>PUJARINI  MAHAPATRA</cp:lastModifiedBy>
  <cp:revision>2</cp:revision>
  <cp:lastPrinted>2016-01-14T19:34:00Z</cp:lastPrinted>
  <dcterms:created xsi:type="dcterms:W3CDTF">2026-04-19T07:25:00Z</dcterms:created>
  <dcterms:modified xsi:type="dcterms:W3CDTF">2026-04-19T07:25:00Z</dcterms:modified>
</cp:coreProperties>
</file>