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sz w:val="32"/>
          <w:szCs w:val="32"/>
          <w:lang w:val="en-GB"/>
        </w:rPr>
      </w:pPr>
      <w:r>
        <w:rPr>
          <w:rFonts w:cs="Times New Roman" w:ascii="Times New Roman" w:hAnsi="Times New Roman"/>
          <w:b/>
          <w:bCs/>
          <w:sz w:val="32"/>
          <w:szCs w:val="32"/>
          <w:lang w:val="en-GB"/>
        </w:rPr>
        <w:t>Using the Zeno line to assess and refine molecular models</w:t>
      </w:r>
    </w:p>
    <w:p>
      <w:pPr>
        <w:pStyle w:val="Normal"/>
        <w:jc w:val="center"/>
        <w:rPr>
          <w:rFonts w:ascii="Times New Roman" w:hAnsi="Times New Roman" w:cs="Times New Roman"/>
          <w:sz w:val="20"/>
          <w:szCs w:val="20"/>
          <w:lang w:val="en-GB"/>
        </w:rPr>
      </w:pPr>
      <w:r>
        <w:rPr>
          <w:rFonts w:cs="Times New Roman" w:ascii="Times New Roman" w:hAnsi="Times New Roman"/>
          <w:sz w:val="20"/>
          <w:szCs w:val="20"/>
          <w:lang w:val="en-GB"/>
        </w:rPr>
      </w:r>
    </w:p>
    <w:p>
      <w:pPr>
        <w:pStyle w:val="Normal"/>
        <w:jc w:val="center"/>
        <w:rPr>
          <w:rFonts w:ascii="Times New Roman" w:hAnsi="Times New Roman" w:cs="Times New Roman"/>
          <w:b/>
          <w:bCs/>
          <w:lang w:val="en-GB"/>
        </w:rPr>
      </w:pPr>
      <w:r>
        <w:rPr>
          <w:rFonts w:cs="Times New Roman" w:ascii="Times New Roman" w:hAnsi="Times New Roman"/>
          <w:b/>
          <w:bCs/>
          <w:u w:val="single"/>
          <w:lang w:val="en-GB"/>
        </w:rPr>
        <w:t>Thomas Paterson</w:t>
      </w:r>
      <w:r>
        <w:rPr>
          <w:rFonts w:cs="Times New Roman" w:ascii="Times New Roman" w:hAnsi="Times New Roman"/>
          <w:b/>
          <w:bCs/>
          <w:u w:val="single"/>
          <w:vertAlign w:val="superscript"/>
          <w:lang w:val="en-GB"/>
        </w:rPr>
        <w:t>1</w:t>
      </w:r>
      <w:r>
        <w:rPr>
          <w:rFonts w:cs="Times New Roman" w:ascii="Times New Roman" w:hAnsi="Times New Roman"/>
          <w:b/>
          <w:bCs/>
          <w:lang w:val="en-GB"/>
        </w:rPr>
        <w:t xml:space="preserve">, Marcus </w:t>
      </w:r>
      <w:r>
        <w:rPr>
          <w:rFonts w:cs="Times New Roman" w:ascii="Times New Roman" w:hAnsi="Times New Roman"/>
          <w:b/>
          <w:bCs/>
          <w:lang w:val="en-GB"/>
        </w:rPr>
        <w:t xml:space="preserve">N. </w:t>
      </w:r>
      <w:r>
        <w:rPr>
          <w:rFonts w:cs="Times New Roman" w:ascii="Times New Roman" w:hAnsi="Times New Roman"/>
          <w:b/>
          <w:bCs/>
          <w:lang w:val="en-GB"/>
        </w:rPr>
        <w:t>Bannerma</w:t>
      </w:r>
      <w:r>
        <w:rPr>
          <w:rFonts w:cs="Times New Roman" w:ascii="Times New Roman" w:hAnsi="Times New Roman"/>
          <w:b/>
          <w:bCs/>
          <w:u w:val="none"/>
          <w:lang w:val="en-GB"/>
        </w:rPr>
        <w:t>n</w:t>
      </w:r>
      <w:r>
        <w:rPr>
          <w:rFonts w:cs="Times New Roman" w:ascii="Times New Roman" w:hAnsi="Times New Roman"/>
          <w:b/>
          <w:bCs/>
          <w:u w:val="none"/>
          <w:vertAlign w:val="superscript"/>
          <w:lang w:val="en-GB"/>
        </w:rPr>
        <w:t>2</w:t>
      </w:r>
      <w:r>
        <w:rPr>
          <w:rFonts w:cs="Times New Roman" w:ascii="Times New Roman" w:hAnsi="Times New Roman"/>
          <w:b/>
          <w:bCs/>
          <w:u w:val="none"/>
          <w:lang w:val="en-GB"/>
        </w:rPr>
        <w:t>, Leo Lue</w:t>
      </w:r>
      <w:r>
        <w:rPr>
          <w:rFonts w:cs="Times New Roman" w:ascii="Times New Roman" w:hAnsi="Times New Roman"/>
          <w:b/>
          <w:bCs/>
          <w:u w:val="none"/>
          <w:vertAlign w:val="superscript"/>
          <w:lang w:val="en-GB"/>
        </w:rPr>
        <w:t>1</w:t>
      </w:r>
      <w:r>
        <w:rPr>
          <w:rFonts w:cs="Times New Roman" w:ascii="Times New Roman" w:hAnsi="Times New Roman"/>
          <w:b/>
          <w:bCs/>
          <w:u w:val="none"/>
          <w:lang w:val="en-GB"/>
        </w:rPr>
        <w:t xml:space="preserve"> </w:t>
      </w:r>
    </w:p>
    <w:p>
      <w:pPr>
        <w:pStyle w:val="Normal"/>
        <w:jc w:val="center"/>
        <w:rPr>
          <w:position w:val="0"/>
          <w:sz w:val="20"/>
          <w:vertAlign w:val="baseline"/>
        </w:rPr>
      </w:pPr>
      <w:r>
        <w:rPr>
          <w:vertAlign w:val="superscript"/>
        </w:rPr>
        <w:t xml:space="preserve">1 </w:t>
      </w:r>
      <w:r>
        <w:rPr>
          <w:position w:val="0"/>
          <w:sz w:val="24"/>
          <w:vertAlign w:val="baseline"/>
        </w:rPr>
        <w:t>Department of Chemical and Process Engineering, University of Strathclyde, James Weir Building, 75 Montrose Street, Glasgow G1 1XJ, United Kingdom</w:t>
      </w:r>
    </w:p>
    <w:p>
      <w:pPr>
        <w:pStyle w:val="Normal"/>
        <w:jc w:val="center"/>
        <w:rPr>
          <w:position w:val="0"/>
          <w:sz w:val="20"/>
          <w:vertAlign w:val="baseline"/>
        </w:rPr>
      </w:pPr>
      <w:r>
        <w:rPr>
          <w:vertAlign w:val="superscript"/>
        </w:rPr>
        <w:t xml:space="preserve">2 </w:t>
      </w:r>
      <w:r>
        <w:rPr>
          <w:position w:val="0"/>
          <w:sz w:val="24"/>
          <w:vertAlign w:val="baseline"/>
        </w:rPr>
        <w:t>School of Engineering, University of Aberdeen, Aberdeen AB24 3UE, United Kingdom</w:t>
      </w:r>
    </w:p>
    <w:p>
      <w:pPr>
        <w:pStyle w:val="Normal"/>
        <w:jc w:val="center"/>
        <w:rPr>
          <w:rFonts w:ascii="Times New Roman" w:hAnsi="Times New Roman" w:cs="Times New Roman"/>
          <w:sz w:val="22"/>
          <w:szCs w:val="22"/>
          <w:lang w:val="en-GB"/>
        </w:rPr>
      </w:pPr>
      <w:r>
        <w:rPr>
          <w:rFonts w:cs="Times New Roman" w:ascii="Times New Roman" w:hAnsi="Times New Roman"/>
          <w:sz w:val="22"/>
          <w:szCs w:val="22"/>
          <w:lang w:val="en-GB"/>
        </w:rPr>
        <w:t xml:space="preserve">e-mail: </w:t>
      </w:r>
      <w:r>
        <w:rPr>
          <w:rFonts w:cs="Times New Roman" w:ascii="Times New Roman" w:hAnsi="Times New Roman"/>
          <w:sz w:val="22"/>
          <w:szCs w:val="22"/>
          <w:lang w:val="en-GB"/>
        </w:rPr>
        <w:t>thomaspaterson@strathclyde.ac.uk</w:t>
      </w:r>
      <w:r>
        <w:rPr>
          <w:rFonts w:cs="Times New Roman" w:ascii="Times New Roman" w:hAnsi="Times New Roman"/>
          <w:sz w:val="22"/>
          <w:szCs w:val="22"/>
          <w:lang w:val="en-GB"/>
        </w:rPr>
        <w:t xml:space="preserve"> </w:t>
      </w:r>
    </w:p>
    <w:p>
      <w:pPr>
        <w:pStyle w:val="Normal"/>
        <w:rPr>
          <w:rFonts w:ascii="Times New Roman" w:hAnsi="Times New Roman" w:cs="Times New Roman"/>
          <w:lang w:val="en-GB"/>
        </w:rPr>
      </w:pPr>
      <w:r>
        <w:rPr>
          <w:rFonts w:cs="Times New Roman" w:ascii="Times New Roman" w:hAnsi="Times New Roman"/>
          <w:lang w:val="en-GB"/>
        </w:rPr>
      </w:r>
    </w:p>
    <w:p>
      <w:pPr>
        <w:pStyle w:val="Normal"/>
        <w:jc w:val="start"/>
        <w:rPr>
          <w:rFonts w:ascii="Times New Roman" w:hAnsi="Times New Roman" w:eastAsia="Times New Roman" w:cs="Times New Roman"/>
          <w:color w:val="auto"/>
          <w:lang w:val="en-GB" w:eastAsia="en-GB"/>
        </w:rPr>
      </w:pPr>
      <w:r>
        <w:rPr>
          <w:rFonts w:eastAsia="Times New Roman" w:cs="Times New Roman" w:ascii="Times New Roman" w:hAnsi="Times New Roman"/>
          <w:color w:val="auto"/>
          <w:lang w:val="en-GB" w:eastAsia="en-GB"/>
        </w:rPr>
        <w:t>The Zeno line is the locus of points on the temperature–density plane where the compressibility factor of the fluid is equal to one. It has been observed to be straight for a broad variety of real fluids, although the underlying reasons for this are still unclear. In this work, a detailed study of the Zeno line and its relation to the vapor–liquid coexistence curve is performed for two simple model pair-potential fluids: attractive square-well fluids with varying well-widths λ and Mie n-6 fluids with different repulsive exponents n. Interestingly, the Zeno lines of these fluids are curved, regardless of the value of λ or n. We find that for square-well fluids, λ ≈ 1.8 presents a Zeno line, which is the most linear over the largest temperature range. For Mie n-6 fluids, we find that the straightest Zeno line occurs for n between 8 and 10. Additionally, the square-well and Mie fluids with the straightest Zeno line showed the closest quantitative agreement with the vapor–liquid coexistence curve for experimental fluids that follow the principle of corresponding states (e.g., argon, xenon, krypton, methane, nitrogen, and oxygen). These results suggest that the Zeno line can provide a useful additional feature, in complement to other properties, such as the phase envelope, to evaluate molecular models [1].</w:t>
      </w:r>
    </w:p>
    <w:p>
      <w:pPr>
        <w:pStyle w:val="Normal"/>
        <w:jc w:val="start"/>
        <w:rPr>
          <w:rFonts w:ascii="Times New Roman" w:hAnsi="Times New Roman" w:eastAsia="Times New Roman" w:cs="Times New Roman"/>
          <w:color w:val="auto"/>
          <w:lang w:val="en-GB" w:eastAsia="en-GB"/>
        </w:rPr>
      </w:pPr>
      <w:r>
        <w:rPr/>
        <w:drawing>
          <wp:anchor behindDoc="0" distT="0" distB="0" distL="0" distR="0" simplePos="0" locked="0" layoutInCell="0" allowOverlap="1" relativeHeight="2">
            <wp:simplePos x="0" y="0"/>
            <wp:positionH relativeFrom="column">
              <wp:align>center</wp:align>
            </wp:positionH>
            <wp:positionV relativeFrom="paragraph">
              <wp:posOffset>26670</wp:posOffset>
            </wp:positionV>
            <wp:extent cx="3757930" cy="2822575"/>
            <wp:effectExtent l="0" t="0" r="0" b="0"/>
            <wp:wrapTopAndBottom/>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3757930" cy="2822575"/>
                    </a:xfrm>
                    <a:prstGeom prst="rect">
                      <a:avLst/>
                    </a:prstGeom>
                    <a:noFill/>
                  </pic:spPr>
                </pic:pic>
              </a:graphicData>
            </a:graphic>
          </wp:anchor>
        </w:drawing>
      </w:r>
    </w:p>
    <w:p>
      <w:pPr>
        <w:pStyle w:val="Normal"/>
        <w:snapToGrid w:val="false"/>
        <w:ind w:hanging="0"/>
        <w:jc w:val="start"/>
        <w:rPr>
          <w:rFonts w:ascii="Times New Roman" w:hAnsi="Times New Roman" w:cs="Times New Roman"/>
          <w:bCs/>
          <w:i/>
          <w:i/>
          <w:color w:val="auto"/>
          <w:sz w:val="22"/>
          <w:szCs w:val="22"/>
          <w:lang w:val="en-GB"/>
        </w:rPr>
      </w:pPr>
      <w:r>
        <w:rPr>
          <w:rFonts w:cs="Times New Roman" w:ascii="Times New Roman" w:hAnsi="Times New Roman"/>
          <w:b/>
          <w:bCs/>
          <w:i/>
          <w:color w:val="auto"/>
          <w:sz w:val="22"/>
          <w:szCs w:val="22"/>
          <w:lang w:val="en-GB"/>
        </w:rPr>
        <w:t>Figure 1</w:t>
      </w:r>
      <w:r>
        <w:rPr>
          <w:rFonts w:cs="Times New Roman" w:ascii="Times New Roman" w:hAnsi="Times New Roman"/>
          <w:bCs/>
          <w:i/>
          <w:color w:val="auto"/>
          <w:sz w:val="22"/>
          <w:szCs w:val="22"/>
          <w:lang w:val="en-GB"/>
        </w:rPr>
        <w:t xml:space="preserve"> – The Zeno line (i.e. locus of points with Z = 1) for attractive square-well fluids of varying well width λ (colo</w:t>
      </w:r>
      <w:r>
        <w:rPr>
          <w:rFonts w:cs="Times New Roman" w:ascii="Times New Roman" w:hAnsi="Times New Roman"/>
          <w:bCs/>
          <w:i/>
          <w:color w:val="auto"/>
          <w:sz w:val="22"/>
          <w:szCs w:val="22"/>
          <w:lang w:val="en-GB"/>
        </w:rPr>
        <w:t>u</w:t>
      </w:r>
      <w:r>
        <w:rPr>
          <w:rFonts w:cs="Times New Roman" w:ascii="Times New Roman" w:hAnsi="Times New Roman"/>
          <w:bCs/>
          <w:i/>
          <w:color w:val="auto"/>
          <w:sz w:val="22"/>
          <w:szCs w:val="22"/>
          <w:lang w:val="en-GB"/>
        </w:rPr>
        <w:t>red solid lines) and real/corresponding-states fluids (gray solid lines). T</w:t>
      </w:r>
      <w:r>
        <w:rPr>
          <w:rFonts w:cs="Times New Roman" w:ascii="Times New Roman" w:hAnsi="Times New Roman"/>
          <w:bCs/>
          <w:i/>
          <w:color w:val="auto"/>
          <w:sz w:val="22"/>
          <w:szCs w:val="22"/>
          <w:vertAlign w:val="subscript"/>
          <w:lang w:val="en-GB"/>
        </w:rPr>
        <w:t>B</w:t>
      </w:r>
      <w:r>
        <w:rPr>
          <w:rFonts w:cs="Times New Roman" w:ascii="Times New Roman" w:hAnsi="Times New Roman"/>
          <w:bCs/>
          <w:i/>
          <w:color w:val="auto"/>
          <w:sz w:val="22"/>
          <w:szCs w:val="22"/>
          <w:lang w:val="en-GB"/>
        </w:rPr>
        <w:t xml:space="preserve"> is the Boyle </w:t>
      </w:r>
      <w:r>
        <w:rPr>
          <w:rFonts w:cs="Times New Roman" w:ascii="Times New Roman" w:hAnsi="Times New Roman"/>
          <w:bCs/>
          <w:i/>
          <w:color w:val="auto"/>
          <w:sz w:val="22"/>
          <w:szCs w:val="22"/>
          <w:lang w:val="en-GB"/>
        </w:rPr>
        <w:t>T</w:t>
      </w:r>
      <w:r>
        <w:rPr>
          <w:rFonts w:cs="Times New Roman" w:ascii="Times New Roman" w:hAnsi="Times New Roman"/>
          <w:bCs/>
          <w:i/>
          <w:color w:val="auto"/>
          <w:sz w:val="22"/>
          <w:szCs w:val="22"/>
          <w:lang w:val="en-GB"/>
        </w:rPr>
        <w:t>emperature, and ρ</w:t>
      </w:r>
      <w:r>
        <w:rPr>
          <w:rFonts w:cs="Times New Roman" w:ascii="Times New Roman" w:hAnsi="Times New Roman"/>
          <w:bCs/>
          <w:i/>
          <w:color w:val="auto"/>
          <w:sz w:val="22"/>
          <w:szCs w:val="22"/>
          <w:vertAlign w:val="subscript"/>
          <w:lang w:val="en-GB"/>
        </w:rPr>
        <w:t>B</w:t>
      </w:r>
      <w:r>
        <w:rPr>
          <w:rFonts w:cs="Times New Roman" w:ascii="Times New Roman" w:hAnsi="Times New Roman"/>
          <w:bCs/>
          <w:i/>
          <w:color w:val="auto"/>
          <w:sz w:val="22"/>
          <w:szCs w:val="22"/>
          <w:lang w:val="en-GB"/>
        </w:rPr>
        <w:t xml:space="preserve"> is the Zeno densi</w:t>
      </w:r>
      <w:r>
        <w:rPr>
          <w:rFonts w:cs="Times New Roman" w:ascii="Times New Roman" w:hAnsi="Times New Roman"/>
          <w:bCs/>
          <w:i/>
          <w:color w:val="auto"/>
          <w:sz w:val="22"/>
          <w:szCs w:val="22"/>
          <w:lang w:val="en-GB"/>
        </w:rPr>
        <w:t>ty</w:t>
      </w:r>
      <w:r>
        <w:rPr>
          <w:rFonts w:cs="Times New Roman" w:ascii="Times New Roman" w:hAnsi="Times New Roman"/>
          <w:bCs/>
          <w:i/>
          <w:color w:val="auto"/>
          <w:sz w:val="22"/>
          <w:szCs w:val="22"/>
          <w:lang w:val="en-GB"/>
        </w:rPr>
        <w:t>. The dashed lines denote the boundaries of the vapo</w:t>
      </w:r>
      <w:r>
        <w:rPr>
          <w:rFonts w:cs="Times New Roman" w:ascii="Times New Roman" w:hAnsi="Times New Roman"/>
          <w:bCs/>
          <w:i/>
          <w:color w:val="auto"/>
          <w:sz w:val="22"/>
          <w:szCs w:val="22"/>
          <w:lang w:val="en-GB"/>
        </w:rPr>
        <w:t>u</w:t>
      </w:r>
      <w:r>
        <w:rPr>
          <w:rFonts w:cs="Times New Roman" w:ascii="Times New Roman" w:hAnsi="Times New Roman"/>
          <w:bCs/>
          <w:i/>
          <w:color w:val="auto"/>
          <w:sz w:val="22"/>
          <w:szCs w:val="22"/>
          <w:lang w:val="en-GB"/>
        </w:rPr>
        <w:t>r-liquid coexistence regions, and the dotted lines are the rectilinear diameters. The</w:t>
      </w:r>
      <w:r>
        <w:rPr>
          <w:rFonts w:cs="Times New Roman" w:ascii="Times New Roman" w:hAnsi="Times New Roman"/>
          <w:bCs/>
          <w:i/>
          <w:color w:val="auto"/>
          <w:sz w:val="22"/>
          <w:szCs w:val="22"/>
          <w:lang w:val="en-GB"/>
        </w:rPr>
        <w:t xml:space="preserve"> </w:t>
      </w:r>
      <w:r>
        <w:rPr>
          <w:rFonts w:cs="Times New Roman" w:ascii="Times New Roman" w:hAnsi="Times New Roman"/>
          <w:bCs/>
          <w:i/>
          <w:color w:val="auto"/>
          <w:sz w:val="22"/>
          <w:szCs w:val="22"/>
          <w:lang w:val="en-GB"/>
        </w:rPr>
        <w:t>filled circles are the critical points for the square-well fluids, whil</w:t>
      </w:r>
      <w:r>
        <w:rPr>
          <w:rFonts w:cs="Times New Roman" w:ascii="Times New Roman" w:hAnsi="Times New Roman"/>
          <w:bCs/>
          <w:i/>
          <w:color w:val="auto"/>
          <w:sz w:val="22"/>
          <w:szCs w:val="22"/>
          <w:lang w:val="en-GB"/>
        </w:rPr>
        <w:t xml:space="preserve">e </w:t>
      </w:r>
      <w:r>
        <w:rPr>
          <w:rFonts w:cs="Times New Roman" w:ascii="Times New Roman" w:hAnsi="Times New Roman"/>
          <w:bCs/>
          <w:i/>
          <w:color w:val="auto"/>
          <w:sz w:val="22"/>
          <w:szCs w:val="22"/>
          <w:lang w:val="en-GB"/>
        </w:rPr>
        <w:t>the gray plus is the critical point for the corresponding states fluids. The red star denotes the triple point for the square-well system with λ = 2.</w:t>
      </w:r>
    </w:p>
    <w:p>
      <w:pPr>
        <w:pStyle w:val="Normal"/>
        <w:snapToGrid w:val="false"/>
        <w:ind w:hanging="0"/>
        <w:jc w:val="start"/>
        <w:rPr>
          <w:rFonts w:ascii="Times New Roman" w:hAnsi="Times New Roman" w:cs="Times New Roman"/>
          <w:bCs/>
          <w:i/>
          <w:i/>
          <w:color w:val="auto"/>
          <w:sz w:val="22"/>
          <w:szCs w:val="22"/>
          <w:lang w:val="en-GB"/>
        </w:rPr>
      </w:pPr>
      <w:r>
        <w:rPr/>
      </w:r>
    </w:p>
    <w:p>
      <w:pPr>
        <w:pStyle w:val="Normal"/>
        <w:snapToGrid w:val="false"/>
        <w:ind w:hanging="0"/>
        <w:jc w:val="start"/>
        <w:rPr>
          <w:rFonts w:ascii="Times New Roman" w:hAnsi="Times New Roman" w:cs="Times New Roman"/>
          <w:bCs/>
          <w:i/>
          <w:i/>
          <w:color w:val="auto"/>
          <w:sz w:val="22"/>
          <w:szCs w:val="22"/>
          <w:lang w:val="en-GB"/>
        </w:rPr>
      </w:pPr>
      <w:r>
        <w:rPr>
          <w:rFonts w:cs="Times New Roman" w:ascii="Times New Roman" w:hAnsi="Times New Roman"/>
          <w:b/>
          <w:bCs/>
          <w:i/>
          <w:color w:val="auto"/>
          <w:sz w:val="22"/>
          <w:szCs w:val="22"/>
          <w:lang w:val="en-GB"/>
        </w:rPr>
        <w:t>Acknowledgements</w:t>
      </w:r>
      <w:r>
        <w:rPr>
          <w:rFonts w:cs="Times New Roman" w:ascii="Times New Roman" w:hAnsi="Times New Roman"/>
          <w:bCs/>
          <w:i/>
          <w:color w:val="auto"/>
          <w:sz w:val="22"/>
          <w:szCs w:val="22"/>
          <w:lang w:val="en-GB"/>
        </w:rPr>
        <w:t xml:space="preserve"> </w:t>
      </w:r>
    </w:p>
    <w:p>
      <w:pPr>
        <w:pStyle w:val="Normal"/>
        <w:snapToGrid w:val="false"/>
        <w:ind w:hanging="0"/>
        <w:jc w:val="start"/>
        <w:rPr>
          <w:rFonts w:ascii="Times New Roman" w:hAnsi="Times New Roman" w:cs="Times New Roman"/>
          <w:bCs/>
          <w:i/>
          <w:i/>
          <w:color w:val="auto"/>
          <w:sz w:val="22"/>
          <w:szCs w:val="22"/>
          <w:lang w:val="en-GB"/>
        </w:rPr>
      </w:pPr>
      <w:r>
        <w:rPr>
          <w:rFonts w:cs="Times New Roman" w:ascii="Times New Roman" w:hAnsi="Times New Roman"/>
          <w:bCs/>
          <w:i/>
          <w:color w:val="auto"/>
          <w:sz w:val="22"/>
          <w:szCs w:val="22"/>
          <w:lang w:val="en-GB"/>
        </w:rPr>
        <w:t>The authors gratefully acknowledge financial support from CCP5.</w:t>
      </w:r>
    </w:p>
    <w:p>
      <w:pPr>
        <w:pStyle w:val="Normal"/>
        <w:snapToGrid w:val="false"/>
        <w:ind w:hanging="0"/>
        <w:jc w:val="start"/>
        <w:rPr>
          <w:rFonts w:ascii="Times New Roman" w:hAnsi="Times New Roman" w:cs="Times New Roman"/>
          <w:bCs/>
          <w:i/>
          <w:i/>
          <w:color w:val="auto"/>
          <w:sz w:val="22"/>
          <w:szCs w:val="22"/>
          <w:lang w:val="en-GB"/>
        </w:rPr>
      </w:pPr>
      <w:r>
        <w:rPr/>
      </w:r>
    </w:p>
    <w:p>
      <w:pPr>
        <w:pStyle w:val="Normal"/>
        <w:jc w:val="start"/>
        <w:rPr>
          <w:rFonts w:ascii="Times New Roman" w:hAnsi="Times New Roman" w:cs="Times New Roman"/>
          <w:lang w:val="en-GB"/>
        </w:rPr>
      </w:pPr>
      <w:r>
        <w:rPr>
          <w:rFonts w:cs="Times New Roman" w:ascii="Times New Roman" w:hAnsi="Times New Roman"/>
          <w:b/>
          <w:bCs/>
          <w:lang w:val="en-GB"/>
        </w:rPr>
        <w:t>References</w:t>
      </w:r>
    </w:p>
    <w:p>
      <w:pPr>
        <w:pStyle w:val="Normal"/>
        <w:ind w:hanging="426" w:start="426" w:end="-2"/>
        <w:jc w:val="start"/>
        <w:rPr>
          <w:rFonts w:ascii="Times New Roman" w:hAnsi="Times New Roman" w:cs="Times New Roman"/>
          <w:lang w:val="en-GB"/>
        </w:rPr>
      </w:pPr>
      <w:r>
        <w:rPr>
          <w:rFonts w:cs="Times New Roman" w:ascii="Times New Roman" w:hAnsi="Times New Roman"/>
          <w:lang w:val="en-GB"/>
        </w:rPr>
        <w:t>[1]</w:t>
        <w:tab/>
        <w:t xml:space="preserve">Thomas Paterson, Marcus N. Bannerman, Leo Lue; Using the Zeno line to assess and refine molecular models. </w:t>
      </w:r>
      <w:r>
        <w:rPr>
          <w:rStyle w:val="Emphasis"/>
          <w:rFonts w:cs="Times New Roman" w:ascii="Times New Roman" w:hAnsi="Times New Roman"/>
          <w:lang w:val="en-GB"/>
        </w:rPr>
        <w:t>J. Chem. Phys.</w:t>
      </w:r>
      <w:r>
        <w:rPr>
          <w:rFonts w:cs="Times New Roman" w:ascii="Times New Roman" w:hAnsi="Times New Roman"/>
          <w:lang w:val="en-GB"/>
        </w:rPr>
        <w:t xml:space="preserve"> 21 April 2024; 160 (15): 154503. </w:t>
      </w:r>
      <w:hyperlink r:id="rId3">
        <w:r>
          <w:rPr>
            <w:rStyle w:val="Hyperlink"/>
            <w:rFonts w:cs="Times New Roman" w:ascii="Times New Roman" w:hAnsi="Times New Roman"/>
            <w:lang w:val="en-GB"/>
          </w:rPr>
          <w:t>https://doi.org/10.1063/5.0192770</w:t>
        </w:r>
      </w:hyperlink>
    </w:p>
    <w:sectPr>
      <w:headerReference w:type="even" r:id="rId4"/>
      <w:headerReference w:type="default" r:id="rId5"/>
      <w:headerReference w:type="first" r:id="rId6"/>
      <w:type w:val="nextPage"/>
      <w:pgSz w:w="11906" w:h="16838"/>
      <w:pgMar w:left="1134" w:right="1134" w:gutter="113" w:header="454" w:top="1134" w:footer="0" w:bottom="1134"/>
      <w:pgNumType w:fmt="decimal"/>
      <w:formProt w:val="false"/>
      <w:titlePg/>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family w:val="roman"/>
    <w:pitch w:val="default"/>
  </w:font>
  <w:font w:name="Palatino">
    <w:charset w:val="01"/>
    <w:family w:val="roman"/>
    <w:pitch w:val="default"/>
  </w:font>
  <w:font w:name="Courier New">
    <w:charset w:val="01"/>
    <w:family w:val="auto"/>
    <w:pitch w:val="default"/>
  </w:font>
  <w:font w:name="Liberation Sans">
    <w:altName w:val="Arial"/>
    <w:charset w:val="01" w:characterSet="utf-8"/>
    <w:family w:val="swiss"/>
    <w:pitch w:val="variable"/>
  </w:font>
  <w:font w:name="Calibri">
    <w:charset w:val="01"/>
    <w:family w:val="swiss"/>
    <w:pitch w:val="default"/>
  </w:font>
  <w:font w:name="Calibri">
    <w:charset w:val="01"/>
    <w:family w:val="roman"/>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Calibri" w:hAnsi="Calibri" w:cs="Times New Roman" w:asciiTheme="minorHAnsi" w:hAnsiTheme="minorHAnsi"/>
        <w:b/>
        <w:color w:themeColor="text1" w:themeTint="80" w:val="7F7F7F"/>
        <w:sz w:val="20"/>
        <w:szCs w:val="22"/>
      </w:rPr>
    </w:pPr>
    <w:r>
      <w:rPr>
        <w:rFonts w:cs="Times New Roman" w:ascii="Calibri" w:hAnsi="Calibri" w:asciiTheme="minorHAnsi" w:hAnsiTheme="minorHAnsi"/>
        <w:b/>
        <w:color w:themeColor="text1" w:themeTint="80" w:val="7F7F7F"/>
        <w:sz w:val="20"/>
        <w:szCs w:val="22"/>
      </w:rPr>
      <w:t>European Molecular Liquids Group and Japanese Molecular Liquids Group Annual Meeting (EMLG/JMLG 2026)</w:t>
    </w:r>
  </w:p>
  <w:p>
    <w:pPr>
      <w:pStyle w:val="Header"/>
      <w:tabs>
        <w:tab w:val="clear" w:pos="4320"/>
        <w:tab w:val="right" w:pos="8640" w:leader="none"/>
      </w:tabs>
      <w:jc w:val="center"/>
      <w:rPr>
        <w:rFonts w:ascii="Calibri" w:hAnsi="Calibri" w:cs="Times New Roman" w:asciiTheme="minorHAnsi" w:hAnsiTheme="minorHAnsi"/>
        <w:b/>
        <w:color w:themeColor="text1" w:themeTint="80" w:val="7F7F7F"/>
        <w:sz w:val="20"/>
        <w:szCs w:val="22"/>
      </w:rPr>
    </w:pPr>
    <w:r>
      <w:rPr>
        <w:rFonts w:cs="Times New Roman" w:ascii="Calibri" w:hAnsi="Calibri" w:asciiTheme="minorHAnsi" w:hAnsiTheme="minorHAnsi"/>
        <w:b/>
        <w:color w:themeColor="text1" w:themeTint="80" w:val="7F7F7F"/>
        <w:sz w:val="20"/>
        <w:szCs w:val="22"/>
      </w:rPr>
      <w:t>Glasgow (UK), 31</w:t>
    </w:r>
    <w:r>
      <w:rPr>
        <w:rFonts w:cs="Times New Roman" w:ascii="Calibri" w:hAnsi="Calibri" w:asciiTheme="minorHAnsi" w:hAnsiTheme="minorHAnsi"/>
        <w:b/>
        <w:color w:themeColor="text1" w:themeTint="80" w:val="7F7F7F"/>
        <w:sz w:val="20"/>
        <w:szCs w:val="22"/>
        <w:vertAlign w:val="superscript"/>
      </w:rPr>
      <w:t>th</w:t>
    </w:r>
    <w:r>
      <w:rPr>
        <w:rFonts w:cs="Times New Roman" w:ascii="Calibri" w:hAnsi="Calibri" w:asciiTheme="minorHAnsi" w:hAnsiTheme="minorHAnsi"/>
        <w:b/>
        <w:color w:themeColor="text1" w:themeTint="80" w:val="7F7F7F"/>
        <w:sz w:val="20"/>
        <w:szCs w:val="22"/>
      </w:rPr>
      <w:t xml:space="preserve"> August – 4</w:t>
    </w:r>
    <w:r>
      <w:rPr>
        <w:rFonts w:cs="Times New Roman" w:ascii="Calibri" w:hAnsi="Calibri" w:asciiTheme="minorHAnsi" w:hAnsiTheme="minorHAnsi"/>
        <w:b/>
        <w:color w:themeColor="text1" w:themeTint="80" w:val="7F7F7F"/>
        <w:sz w:val="20"/>
        <w:szCs w:val="22"/>
        <w:vertAlign w:val="superscript"/>
      </w:rPr>
      <w:t>th</w:t>
    </w:r>
    <w:r>
      <w:rPr>
        <w:rFonts w:cs="Times New Roman" w:ascii="Calibri" w:hAnsi="Calibri" w:asciiTheme="minorHAnsi" w:hAnsiTheme="minorHAnsi"/>
        <w:b/>
        <w:color w:themeColor="text1" w:themeTint="80" w:val="7F7F7F"/>
        <w:sz w:val="20"/>
        <w:szCs w:val="22"/>
      </w:rPr>
      <w:t xml:space="preserve"> September, 2026</w:t>
    </w:r>
  </w:p>
</w:hdr>
</file>

<file path=word/settings.xml><?xml version="1.0" encoding="utf-8"?>
<w:settings xmlns:w="http://schemas.openxmlformats.org/wordprocessingml/2006/main">
  <w:zoom w:percent="100"/>
  <w:embedSystemFonts/>
  <w:defaultTabStop w:val="708"/>
  <w:autoHyphenation w:val="true"/>
  <w:doNotHyphenateCaps/>
  <w:hyphenationZone w:val="425"/>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GB" w:eastAsia="en-GB" w:bidi="ar-SA"/>
      </w:rPr>
    </w:rPrDefault>
    <w:pPrDefault>
      <w:pPr>
        <w:suppressAutoHyphens w:val="true"/>
      </w:pPr>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atentStyles>
  <w:style w:type="paragraph" w:styleId="Normal" w:default="1">
    <w:name w:val="Normal"/>
    <w:qFormat/>
    <w:pPr>
      <w:widowControl/>
      <w:suppressAutoHyphens w:val="true"/>
      <w:bidi w:val="0"/>
      <w:spacing w:before="0" w:after="0"/>
      <w:jc w:val="both"/>
    </w:pPr>
    <w:rPr>
      <w:rFonts w:ascii="Palatino" w:hAnsi="Palatino" w:eastAsia="MS Mincho" w:cs="Palatino"/>
      <w:color w:val="000000"/>
      <w:kern w:val="0"/>
      <w:sz w:val="24"/>
      <w:szCs w:val="24"/>
      <w:lang w:val="en-US" w:eastAsia="ja-JP" w:bidi="ar-SA"/>
    </w:rPr>
  </w:style>
  <w:style w:type="character" w:styleId="DefaultParagraphFont" w:default="1">
    <w:name w:val="Default Paragraph Font"/>
    <w:uiPriority w:val="1"/>
    <w:semiHidden/>
    <w:qFormat/>
    <w:rPr/>
  </w:style>
  <w:style w:type="character" w:styleId="Hyperlink">
    <w:name w:val="Hyperlink"/>
    <w:basedOn w:val="DefaultParagraphFont"/>
    <w:uiPriority w:val="99"/>
    <w:rPr>
      <w:rFonts w:ascii="Times New Roman" w:hAnsi="Times New Roman" w:cs="Times New Roman"/>
      <w:color w:val="0000FF"/>
      <w:u w:val="single"/>
    </w:rPr>
  </w:style>
  <w:style w:type="character" w:styleId="BodyText2Char" w:customStyle="1">
    <w:name w:val="Body Text 2 Char"/>
    <w:basedOn w:val="DefaultParagraphFont"/>
    <w:link w:val="BodyText2"/>
    <w:uiPriority w:val="99"/>
    <w:semiHidden/>
    <w:qFormat/>
    <w:locked/>
    <w:rPr>
      <w:rFonts w:ascii="Palatino" w:hAnsi="Palatino" w:eastAsia="MS Mincho" w:cs="Palatino"/>
      <w:color w:val="000000"/>
      <w:sz w:val="24"/>
      <w:szCs w:val="24"/>
      <w:lang w:val="en-US" w:eastAsia="ja-JP"/>
    </w:rPr>
  </w:style>
  <w:style w:type="character" w:styleId="PlainTextChar" w:customStyle="1">
    <w:name w:val="Plain Text Char"/>
    <w:basedOn w:val="DefaultParagraphFont"/>
    <w:link w:val="PlainText"/>
    <w:uiPriority w:val="99"/>
    <w:semiHidden/>
    <w:qFormat/>
    <w:locked/>
    <w:rPr>
      <w:rFonts w:ascii="Courier New" w:hAnsi="Courier New" w:eastAsia="MS Mincho" w:cs="Courier New"/>
      <w:color w:val="000000"/>
      <w:lang w:val="en-US" w:eastAsia="ja-JP"/>
    </w:rPr>
  </w:style>
  <w:style w:type="character" w:styleId="BodyTextIndent2Char" w:customStyle="1">
    <w:name w:val="Body Text Indent 2 Char"/>
    <w:basedOn w:val="DefaultParagraphFont"/>
    <w:link w:val="BodyTextIndent2"/>
    <w:uiPriority w:val="99"/>
    <w:semiHidden/>
    <w:qFormat/>
    <w:locked/>
    <w:rPr>
      <w:rFonts w:ascii="Palatino" w:hAnsi="Palatino" w:eastAsia="MS Mincho" w:cs="Palatino"/>
      <w:color w:val="000000"/>
      <w:sz w:val="24"/>
      <w:szCs w:val="24"/>
      <w:lang w:val="en-US" w:eastAsia="ja-JP"/>
    </w:rPr>
  </w:style>
  <w:style w:type="character" w:styleId="BodyTextIndent3Char" w:customStyle="1">
    <w:name w:val="Body Text Indent 3 Char"/>
    <w:basedOn w:val="DefaultParagraphFont"/>
    <w:link w:val="BodyTextIndent3"/>
    <w:uiPriority w:val="99"/>
    <w:semiHidden/>
    <w:qFormat/>
    <w:locked/>
    <w:rPr>
      <w:rFonts w:ascii="Palatino" w:hAnsi="Palatino" w:eastAsia="MS Mincho" w:cs="Palatino"/>
      <w:color w:val="000000"/>
      <w:sz w:val="16"/>
      <w:szCs w:val="16"/>
      <w:lang w:val="en-US" w:eastAsia="ja-JP"/>
    </w:rPr>
  </w:style>
  <w:style w:type="character" w:styleId="HeaderChar" w:customStyle="1">
    <w:name w:val="Header Char"/>
    <w:basedOn w:val="DefaultParagraphFont"/>
    <w:link w:val="Header"/>
    <w:uiPriority w:val="99"/>
    <w:semiHidden/>
    <w:qFormat/>
    <w:locked/>
    <w:rPr>
      <w:rFonts w:ascii="Palatino" w:hAnsi="Palatino" w:eastAsia="MS Mincho" w:cs="Palatino"/>
      <w:color w:val="000000"/>
      <w:sz w:val="24"/>
      <w:szCs w:val="24"/>
      <w:lang w:val="en-US" w:eastAsia="ja-JP"/>
    </w:rPr>
  </w:style>
  <w:style w:type="character" w:styleId="FooterChar" w:customStyle="1">
    <w:name w:val="Footer Char"/>
    <w:basedOn w:val="DefaultParagraphFont"/>
    <w:link w:val="Footer"/>
    <w:uiPriority w:val="99"/>
    <w:semiHidden/>
    <w:qFormat/>
    <w:locked/>
    <w:rPr>
      <w:rFonts w:ascii="Palatino" w:hAnsi="Palatino" w:eastAsia="MS Mincho" w:cs="Palatino"/>
      <w:color w:val="000000"/>
      <w:sz w:val="24"/>
      <w:szCs w:val="24"/>
      <w:lang w:val="en-US" w:eastAsia="ja-JP"/>
    </w:rPr>
  </w:style>
  <w:style w:type="character" w:styleId="PageNumber">
    <w:name w:val="page number"/>
    <w:basedOn w:val="DefaultParagraphFont"/>
    <w:uiPriority w:val="99"/>
    <w:rsid w:val="00e4528e"/>
    <w:rPr>
      <w:rFonts w:cs="Times New Roman"/>
    </w:rPr>
  </w:style>
  <w:style w:type="character" w:styleId="UnresolvedMention">
    <w:name w:val="Unresolved Mention"/>
    <w:basedOn w:val="DefaultParagraphFont"/>
    <w:uiPriority w:val="99"/>
    <w:semiHidden/>
    <w:unhideWhenUsed/>
    <w:qFormat/>
    <w:rsid w:val="00274257"/>
    <w:rPr>
      <w:rFonts w:cs="Times New Roman"/>
      <w:color w:val="605E5C"/>
      <w:shd w:fill="E1DFDD" w:val="clear"/>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Calibri" w:hAnsi="Calibri" w:cs="Noto Sans"/>
    </w:rPr>
  </w:style>
  <w:style w:type="paragraph" w:styleId="Caption">
    <w:name w:val="caption"/>
    <w:basedOn w:val="Normal"/>
    <w:qFormat/>
    <w:pPr>
      <w:suppressLineNumbers/>
      <w:spacing w:before="120" w:after="120"/>
    </w:pPr>
    <w:rPr>
      <w:rFonts w:ascii="Calibri" w:hAnsi="Calibri" w:cs="Noto Sans"/>
      <w:i/>
      <w:iCs/>
      <w:sz w:val="24"/>
      <w:szCs w:val="24"/>
    </w:rPr>
  </w:style>
  <w:style w:type="paragraph" w:styleId="Index">
    <w:name w:val="Index"/>
    <w:basedOn w:val="Normal"/>
    <w:qFormat/>
    <w:pPr>
      <w:suppressLineNumbers/>
    </w:pPr>
    <w:rPr>
      <w:rFonts w:ascii="Calibri" w:hAnsi="Calibri" w:cs="Noto Sans"/>
    </w:rPr>
  </w:style>
  <w:style w:type="paragraph" w:styleId="BodyText2">
    <w:name w:val="Body Text 2"/>
    <w:basedOn w:val="Normal"/>
    <w:link w:val="BodyText2Char"/>
    <w:uiPriority w:val="99"/>
    <w:qFormat/>
    <w:pPr>
      <w:ind w:firstLine="284"/>
    </w:pPr>
    <w:rPr>
      <w:sz w:val="22"/>
      <w:szCs w:val="22"/>
    </w:rPr>
  </w:style>
  <w:style w:type="paragraph" w:styleId="PlainText">
    <w:name w:val="Plain Text"/>
    <w:basedOn w:val="Normal"/>
    <w:link w:val="PlainTextChar"/>
    <w:uiPriority w:val="99"/>
    <w:qFormat/>
    <w:pPr>
      <w:jc w:val="start"/>
    </w:pPr>
    <w:rPr>
      <w:rFonts w:ascii="Courier New" w:hAnsi="Courier New" w:cs="Courier New"/>
      <w:color w:val="auto"/>
      <w:sz w:val="20"/>
      <w:szCs w:val="20"/>
    </w:rPr>
  </w:style>
  <w:style w:type="paragraph" w:styleId="BodyTextIndent2">
    <w:name w:val="Body Text Indent 2"/>
    <w:basedOn w:val="Normal"/>
    <w:link w:val="BodyTextIndent2Char"/>
    <w:uiPriority w:val="99"/>
    <w:qFormat/>
    <w:pPr>
      <w:ind w:firstLine="284"/>
      <w:jc w:val="start"/>
    </w:pPr>
    <w:rPr>
      <w:b/>
      <w:bCs/>
      <w:sz w:val="22"/>
      <w:szCs w:val="22"/>
    </w:rPr>
  </w:style>
  <w:style w:type="paragraph" w:styleId="BodyTextIndent3">
    <w:name w:val="Body Text Indent 3"/>
    <w:basedOn w:val="Normal"/>
    <w:link w:val="BodyTextIndent3Char"/>
    <w:uiPriority w:val="99"/>
    <w:qFormat/>
    <w:pPr>
      <w:ind w:firstLine="284"/>
    </w:pPr>
    <w:rPr>
      <w:rFonts w:ascii="Times New Roman" w:hAnsi="Times New Roman" w:cs="Times New Roman"/>
      <w:b/>
      <w:bCs/>
      <w:sz w:val="22"/>
      <w:szCs w:val="22"/>
    </w:rPr>
  </w:style>
  <w:style w:type="paragraph" w:styleId="HeaderandFooter">
    <w:name w:val="Header and Footer"/>
    <w:basedOn w:val="Normal"/>
    <w:qFormat/>
    <w:pPr/>
    <w:rPr/>
  </w:style>
  <w:style w:type="paragraph" w:styleId="Header">
    <w:name w:val="header"/>
    <w:basedOn w:val="Normal"/>
    <w:link w:val="HeaderChar"/>
    <w:uiPriority w:val="99"/>
    <w:rsid w:val="00e4528e"/>
    <w:pPr>
      <w:tabs>
        <w:tab w:val="clear" w:pos="708"/>
        <w:tab w:val="center" w:pos="4320" w:leader="none"/>
        <w:tab w:val="right" w:pos="8640" w:leader="none"/>
      </w:tabs>
    </w:pPr>
    <w:rPr/>
  </w:style>
  <w:style w:type="paragraph" w:styleId="Footer">
    <w:name w:val="footer"/>
    <w:basedOn w:val="Normal"/>
    <w:link w:val="FooterChar"/>
    <w:uiPriority w:val="99"/>
    <w:rsid w:val="00e4528e"/>
    <w:pPr>
      <w:tabs>
        <w:tab w:val="clear" w:pos="708"/>
        <w:tab w:val="center" w:pos="4320" w:leader="none"/>
        <w:tab w:val="right" w:pos="8640" w:leader="none"/>
      </w:tab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doi.org/10.1063/5.0192770"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LibreOffice/24.8.2.1$Linux_X86_64 LibreOffice_project/0f794b6e29741098670a3b95d60478a65d05ef13</Application>
  <AppVersion>15.0000</AppVersion>
  <Pages>1</Pages>
  <Words>426</Words>
  <Characters>2326</Characters>
  <CharactersWithSpaces>2741</CharactersWithSpaces>
  <Paragraphs>13</Paragraphs>
  <Company>ICPM-6</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2026-01-08T10:24:00Z</dcterms:created>
  <dc:creator>ICPM-6</dc:creator>
  <dc:description/>
  <dc:language>en-GB</dc:language>
  <cp:lastModifiedBy/>
  <cp:lastPrinted>2016-01-14T19:34:00Z</cp:lastPrinted>
  <dcterms:modified xsi:type="dcterms:W3CDTF">2026-06-18T17:47:23Z</dcterms:modified>
  <cp:revision>6</cp:revision>
  <dc:subject/>
  <dc:title>Abstract Template for 6th International Conference on</dc:title>
</cp:coreProperties>
</file>

<file path=docProps/custom.xml><?xml version="1.0" encoding="utf-8"?>
<Properties xmlns="http://schemas.openxmlformats.org/officeDocument/2006/custom-properties" xmlns:vt="http://schemas.openxmlformats.org/officeDocument/2006/docPropsVTypes"/>
</file>