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sz w:val="32"/>
          <w:szCs w:val="32"/>
        </w:rPr>
      </w:pPr>
      <w:r>
        <w:rPr>
          <w:rFonts w:cs="Arial" w:ascii="Times New Roman" w:hAnsi="Times New Roman"/>
          <w:b/>
          <w:bCs/>
          <w:sz w:val="32"/>
          <w:szCs w:val="32"/>
          <w:lang w:val="en-GB"/>
        </w:rPr>
        <w:t>Monolayers or Micelles? The Unusual Adsorption of  Ionic Surfactants onto Inorganic Surfaces</w:t>
      </w:r>
    </w:p>
    <w:p>
      <w:pPr>
        <w:pStyle w:val="Normal"/>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jc w:val="center"/>
        <w:rPr>
          <w:rFonts w:ascii="Times New Roman" w:hAnsi="Times New Roman" w:cs="Times New Roman"/>
          <w:b/>
          <w:b/>
          <w:bCs/>
          <w:lang w:val="en-GB"/>
        </w:rPr>
      </w:pPr>
      <w:r>
        <w:rPr>
          <w:rFonts w:cs="Times New Roman" w:ascii="Times New Roman" w:hAnsi="Times New Roman"/>
          <w:b/>
          <w:bCs/>
          <w:position w:val="0"/>
          <w:sz w:val="24"/>
          <w:u w:val="single"/>
          <w:vertAlign w:val="baseline"/>
          <w:lang w:val="en-GB"/>
        </w:rPr>
        <w:t>Samuel P. L. Proctor</w:t>
      </w:r>
      <w:r>
        <w:rPr>
          <w:rFonts w:cs="Times New Roman" w:ascii="Times New Roman" w:hAnsi="Times New Roman"/>
          <w:b/>
          <w:bCs/>
          <w:u w:val="single"/>
          <w:vertAlign w:val="superscript"/>
          <w:lang w:val="en-GB"/>
        </w:rPr>
        <w:t>1</w:t>
      </w:r>
      <w:r>
        <w:rPr>
          <w:rFonts w:cs="Times New Roman" w:ascii="Times New Roman" w:hAnsi="Times New Roman"/>
          <w:b/>
          <w:bCs/>
          <w:lang w:val="en-GB"/>
        </w:rPr>
        <w:t xml:space="preserve">, </w:t>
      </w:r>
      <w:r>
        <w:rPr>
          <w:rFonts w:cs="Times New Roman" w:ascii="Times New Roman" w:hAnsi="Times New Roman"/>
          <w:b/>
          <w:bCs/>
          <w:lang w:val="en-GB"/>
        </w:rPr>
        <w:t>Tom Robinson</w:t>
      </w:r>
      <w:r>
        <w:rPr>
          <w:rFonts w:cs="Times New Roman" w:ascii="Times New Roman" w:hAnsi="Times New Roman"/>
          <w:b/>
          <w:bCs/>
          <w:vertAlign w:val="superscript"/>
          <w:lang w:val="en-GB"/>
        </w:rPr>
        <w:t>1</w:t>
      </w:r>
      <w:r>
        <w:rPr>
          <w:rFonts w:cs="Times New Roman" w:ascii="Times New Roman" w:hAnsi="Times New Roman"/>
          <w:b/>
          <w:bCs/>
          <w:lang w:val="en-GB"/>
        </w:rPr>
        <w:t xml:space="preserve">, </w:t>
      </w:r>
      <w:r>
        <w:rPr>
          <w:rFonts w:cs="Times New Roman" w:ascii="Times New Roman" w:hAnsi="Times New Roman"/>
          <w:b/>
          <w:bCs/>
          <w:u w:val="none"/>
          <w:lang w:val="en-GB"/>
        </w:rPr>
        <w:t>Peter J. Dowding</w:t>
      </w:r>
      <w:r>
        <w:rPr>
          <w:rFonts w:cs="Times New Roman" w:ascii="Times New Roman" w:hAnsi="Times New Roman"/>
          <w:b/>
          <w:bCs/>
          <w:u w:val="none"/>
          <w:vertAlign w:val="superscript"/>
          <w:lang w:val="en-GB"/>
        </w:rPr>
        <w:t>2</w:t>
      </w:r>
      <w:r>
        <w:rPr>
          <w:rFonts w:cs="Times New Roman" w:ascii="Times New Roman" w:hAnsi="Times New Roman"/>
          <w:b/>
          <w:bCs/>
          <w:position w:val="0"/>
          <w:sz w:val="24"/>
          <w:u w:val="none"/>
          <w:vertAlign w:val="baseline"/>
          <w:lang w:val="en-GB"/>
        </w:rPr>
        <w:t>, Philip J. Camp</w:t>
      </w:r>
      <w:r>
        <w:rPr>
          <w:rFonts w:cs="Times New Roman" w:ascii="Times New Roman" w:hAnsi="Times New Roman"/>
          <w:b/>
          <w:bCs/>
          <w:u w:val="none"/>
          <w:vertAlign w:val="superscript"/>
          <w:lang w:val="en-GB"/>
        </w:rPr>
        <w:t>1</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vertAlign w:val="superscript"/>
          <w:lang w:val="en-GB"/>
        </w:rPr>
        <w:t>1</w:t>
      </w:r>
      <w:r>
        <w:rPr>
          <w:rFonts w:cs="Times New Roman" w:ascii="Times New Roman" w:hAnsi="Times New Roman"/>
          <w:position w:val="0"/>
          <w:sz w:val="22"/>
          <w:sz w:val="22"/>
          <w:szCs w:val="22"/>
          <w:vertAlign w:val="baseline"/>
          <w:lang w:val="en-GB"/>
        </w:rPr>
        <w:t>School of Chemsitry, University of Edinburgh, David Brewster Road, Edinburgh EH9 3FJ, Scotland</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vertAlign w:val="superscript"/>
          <w:lang w:val="en-GB"/>
        </w:rPr>
        <w:t>2</w:t>
      </w:r>
      <w:r>
        <w:rPr>
          <w:rFonts w:cs="Times New Roman" w:ascii="Times New Roman" w:hAnsi="Times New Roman"/>
          <w:position w:val="0"/>
          <w:sz w:val="22"/>
          <w:sz w:val="22"/>
          <w:szCs w:val="22"/>
          <w:vertAlign w:val="baseline"/>
          <w:lang w:val="en-GB"/>
        </w:rPr>
        <w:t>Infineum  UK Ltd., Milton Hill Business and Technology Centre, OX13 6BD,  UK</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 xml:space="preserve">e-mail: </w:t>
      </w:r>
      <w:r>
        <w:rPr>
          <w:rFonts w:cs="Times New Roman" w:ascii="Times New Roman" w:hAnsi="Times New Roman"/>
          <w:sz w:val="22"/>
          <w:szCs w:val="22"/>
          <w:lang w:val="en-GB"/>
        </w:rPr>
        <w:t>samuel.proctor@ed.ac.uk</w:t>
      </w:r>
    </w:p>
    <w:p>
      <w:pPr>
        <w:pStyle w:val="Normal"/>
        <w:rPr>
          <w:rFonts w:ascii="Times New Roman" w:hAnsi="Times New Roman" w:cs="Times New Roman"/>
          <w:lang w:val="en-GB"/>
        </w:rPr>
      </w:pPr>
      <w:r>
        <w:rPr>
          <w:rFonts w:cs="Times New Roman" w:ascii="Times New Roman" w:hAnsi="Times New Roman"/>
          <w:lang w:val="en-GB"/>
        </w:rPr>
      </w:r>
    </w:p>
    <w:p>
      <w:pPr>
        <w:pStyle w:val="Normal"/>
        <w:jc w:val="left"/>
        <w:rPr>
          <w:rFonts w:ascii="Times New Roman" w:hAnsi="Times New Roman"/>
          <w:sz w:val="24"/>
          <w:szCs w:val="24"/>
        </w:rPr>
      </w:pPr>
      <w:bookmarkStart w:id="0" w:name="OLE_LINK1"/>
      <w:r>
        <w:rPr>
          <w:rFonts w:cs="Arial" w:ascii="Times New Roman" w:hAnsi="Times New Roman"/>
          <w:sz w:val="24"/>
          <w:szCs w:val="24"/>
        </w:rPr>
        <w:t>Approximately 20% of the world’s energy consumption is spent overcoming friction within mechanical contacts.</w:t>
      </w:r>
      <w:r>
        <w:rPr>
          <w:rFonts w:cs="Arial" w:ascii="Times New Roman" w:hAnsi="Times New Roman"/>
          <w:position w:val="0"/>
          <w:sz w:val="24"/>
          <w:sz w:val="24"/>
          <w:szCs w:val="24"/>
          <w:vertAlign w:val="baseline"/>
        </w:rPr>
        <w:t>[1]</w:t>
      </w:r>
      <w:r>
        <w:rPr>
          <w:rFonts w:cs="Arial" w:ascii="Times New Roman" w:hAnsi="Times New Roman"/>
          <w:sz w:val="24"/>
          <w:szCs w:val="24"/>
        </w:rPr>
        <w:t xml:space="preserve"> Therefore, controlling friction and wear is important to sustainability in a wide range of industrial scenarios, with large social, economic and environmental impacts. This field of study, known as tribology, focuses on understanding and reducing friction and wear with lubrication. The first lubricant additives, isolated in the 1920s, were simple fatty acids that adsorbed onto surfaces as monolayers in a “head-up-tails-down” fashion.</w:t>
      </w:r>
      <w:r>
        <w:rPr>
          <w:rFonts w:cs="Arial" w:ascii="Times New Roman" w:hAnsi="Times New Roman"/>
          <w:position w:val="0"/>
          <w:sz w:val="24"/>
          <w:sz w:val="24"/>
          <w:szCs w:val="24"/>
          <w:vertAlign w:val="baseline"/>
        </w:rPr>
        <w:t>[2]</w:t>
      </w:r>
      <w:r>
        <w:rPr>
          <w:rFonts w:cs="Arial" w:ascii="Times New Roman" w:hAnsi="Times New Roman"/>
          <w:sz w:val="24"/>
          <w:szCs w:val="24"/>
        </w:rPr>
        <w:t xml:space="preserve"> Since then, more complex additives, such as modern friction modifiers have been capable to self-assemble into reverse micelles. This work focuses on how molecular-dynamics (MD) simulations offer a complementary approach to traditional tribology testing alongside start-of-the-art neutron scattering experiments and accelerate the design of lubricant formulations.</w:t>
      </w:r>
      <w:bookmarkEnd w:id="0"/>
    </w:p>
    <w:p>
      <w:pPr>
        <w:pStyle w:val="Normal"/>
        <w:jc w:val="left"/>
        <w:rPr>
          <w:rFonts w:ascii="Times New Roman" w:hAnsi="Times New Roman"/>
          <w:sz w:val="24"/>
          <w:szCs w:val="24"/>
        </w:rPr>
      </w:pPr>
      <w:r>
        <w:rPr>
          <w:rFonts w:ascii="Times New Roman" w:hAnsi="Times New Roman"/>
          <w:sz w:val="24"/>
          <w:szCs w:val="24"/>
        </w:rPr>
      </w:r>
      <w:bookmarkStart w:id="1" w:name="OLE_LINK3"/>
      <w:bookmarkStart w:id="2" w:name="OLE_LINK3"/>
      <w:bookmarkEnd w:id="2"/>
    </w:p>
    <w:p>
      <w:pPr>
        <w:pStyle w:val="Normal"/>
        <w:jc w:val="left"/>
        <w:rPr>
          <w:rFonts w:ascii="Times New Roman" w:hAnsi="Times New Roman"/>
          <w:sz w:val="24"/>
          <w:szCs w:val="24"/>
        </w:rPr>
      </w:pPr>
      <w:r>
        <w:rPr>
          <w:rFonts w:cs="Arial" w:ascii="Times New Roman" w:hAnsi="Times New Roman"/>
          <w:sz w:val="24"/>
          <w:szCs w:val="24"/>
        </w:rPr>
        <w:t>In a proof-of-principle study, the aggregation and interfacial behaviour an anionic aerosol-OT surfactant are investigated. In non-polar solvent with water, the surfactants form reverse-micelles, consistent with small-angle neutron scattering data. At the iron-oxide/oil interface, MD simulations with water show the formation of hemi-micelles and hemi-cylinders, structures that are highly anomalous for such compounds. Strikingly, these unique features are in excellent agreement with neutron reflectometry measurements, strongly validating the simulation results.</w:t>
      </w:r>
    </w:p>
    <w:p>
      <w:pPr>
        <w:pStyle w:val="Normal"/>
        <w:jc w:val="left"/>
        <w:rPr>
          <w:rFonts w:ascii="Times New Roman" w:hAnsi="Times New Roman"/>
          <w:sz w:val="24"/>
          <w:szCs w:val="24"/>
        </w:rPr>
      </w:pPr>
      <w:r>
        <w:rPr>
          <w:rFonts w:ascii="Times New Roman" w:hAnsi="Times New Roman"/>
          <w:sz w:val="24"/>
          <w:szCs w:val="24"/>
        </w:rPr>
      </w:r>
    </w:p>
    <w:p>
      <w:pPr>
        <w:pStyle w:val="Normal"/>
        <w:spacing w:before="0" w:after="120"/>
        <w:jc w:val="left"/>
        <w:rPr>
          <w:rFonts w:ascii="Times New Roman" w:hAnsi="Times New Roman"/>
          <w:sz w:val="24"/>
          <w:szCs w:val="24"/>
        </w:rPr>
      </w:pPr>
      <w:bookmarkStart w:id="3" w:name="OLE_LINK3"/>
      <w:bookmarkStart w:id="4" w:name="OLE_LINK4"/>
      <w:bookmarkEnd w:id="3"/>
      <w:r>
        <w:rPr>
          <w:rFonts w:eastAsia="Times New Roman" w:cs="Arial" w:ascii="Times New Roman" w:hAnsi="Times New Roman"/>
          <w:color w:val="auto"/>
          <w:sz w:val="24"/>
          <w:szCs w:val="24"/>
          <w:lang w:val="en-GB" w:eastAsia="en-GB"/>
        </w:rPr>
        <w:t>The second project focuses on Duomeen TDO, an additive consisting of a doubly charged ammonium cation and two carboxylate anions, used for the lubrication and dispersion o</w:t>
      </w:r>
      <w:bookmarkStart w:id="5" w:name="OLE_LINK5"/>
      <w:r>
        <w:rPr>
          <w:rFonts w:eastAsia="Times New Roman" w:cs="Arial" w:ascii="Times New Roman" w:hAnsi="Times New Roman"/>
          <w:color w:val="auto"/>
          <w:sz w:val="24"/>
          <w:szCs w:val="24"/>
          <w:lang w:val="en-GB" w:eastAsia="en-GB"/>
        </w:rPr>
        <w:t xml:space="preserve">f </w:t>
      </w:r>
      <w:r>
        <w:rPr>
          <w:rFonts w:eastAsia="Times New Roman" w:cs="Arial" w:ascii="Times New Roman" w:hAnsi="Times New Roman"/>
          <w:color w:val="auto"/>
          <w:sz w:val="24"/>
          <w:szCs w:val="24"/>
          <w:lang w:val="en-GB" w:eastAsia="en-GB"/>
        </w:rPr>
        <w:t>molybdenum disulfide-coated magnetic iron nanoparticles</w:t>
      </w:r>
      <w:r>
        <w:rPr>
          <w:rFonts w:eastAsia="Times New Roman" w:cs="Arial" w:ascii="Times New Roman" w:hAnsi="Times New Roman"/>
          <w:color w:val="auto"/>
          <w:sz w:val="24"/>
          <w:szCs w:val="24"/>
          <w:lang w:val="en-GB" w:eastAsia="en-GB"/>
        </w:rPr>
        <w:t xml:space="preserve"> in magnetorheological fluids (MRFs). </w:t>
      </w:r>
      <w:bookmarkEnd w:id="4"/>
      <w:bookmarkEnd w:id="5"/>
      <w:r>
        <w:rPr>
          <w:rFonts w:eastAsia="Times New Roman" w:cs="Arial" w:ascii="Times New Roman" w:hAnsi="Times New Roman"/>
          <w:color w:val="auto"/>
          <w:sz w:val="24"/>
          <w:szCs w:val="24"/>
          <w:lang w:val="en-GB" w:eastAsia="en-GB"/>
        </w:rPr>
        <w:t>Results on the self-assembly as a function of water concentration are presented, alongside simulation-derived rheological responses and the interfacial adsorption on iron oxide and molybdenum disulfide, which differs significantly between the two surfaces.</w:t>
      </w:r>
    </w:p>
    <w:p>
      <w:pPr>
        <w:pStyle w:val="BodyText2"/>
        <w:ind w:hanging="0"/>
        <w:jc w:val="left"/>
        <w:rPr>
          <w:rFonts w:ascii="Times New Roman" w:hAnsi="Times New Roman"/>
          <w:sz w:val="24"/>
          <w:szCs w:val="24"/>
        </w:rPr>
      </w:pPr>
      <w:r>
        <w:rPr>
          <w:rFonts w:ascii="Times New Roman" w:hAnsi="Times New Roman"/>
          <w:sz w:val="24"/>
          <w:szCs w:val="24"/>
        </w:rPr>
      </w:r>
    </w:p>
    <w:p>
      <w:pPr>
        <w:pStyle w:val="BodyText2"/>
        <w:ind w:hanging="0"/>
        <w:jc w:val="left"/>
        <w:rPr>
          <w:rFonts w:ascii="Times New Roman" w:hAnsi="Times New Roman"/>
          <w:b/>
          <w:b/>
          <w:bCs/>
          <w:sz w:val="24"/>
          <w:szCs w:val="24"/>
        </w:rPr>
      </w:pPr>
      <w:r>
        <w:rPr>
          <w:rFonts w:ascii="Times New Roman" w:hAnsi="Times New Roman"/>
          <w:b/>
          <w:bCs/>
          <w:sz w:val="24"/>
          <w:szCs w:val="24"/>
        </w:rPr>
        <w:t>Acknowledgments</w:t>
      </w:r>
    </w:p>
    <w:p>
      <w:pPr>
        <w:pStyle w:val="Normal"/>
        <w:ind w:hanging="0"/>
        <w:jc w:val="left"/>
        <w:rPr>
          <w:rFonts w:ascii="Arial" w:hAnsi="Arial" w:cs="Arial"/>
          <w:sz w:val="22"/>
          <w:szCs w:val="22"/>
        </w:rPr>
      </w:pPr>
      <w:r>
        <w:rPr>
          <w:rFonts w:cs="Arial" w:ascii="Times New Roman" w:hAnsi="Times New Roman"/>
          <w:sz w:val="24"/>
          <w:szCs w:val="24"/>
        </w:rPr>
        <w:t>This work was supported jointly by Engineering and Physical Sciences Research Council and Infineum UK Ltd. The authors would like to thank Professor Alex Routh (University of Cambridge) and Dr. Alexander Armstrong (ISIS Neutron and Muon Source) for conducting the neutron reflectometry experiments.</w:t>
      </w:r>
      <w:r>
        <w:rPr>
          <w:rFonts w:cs="Arial" w:ascii="Arial" w:hAnsi="Arial"/>
          <w:sz w:val="22"/>
          <w:szCs w:val="22"/>
        </w:rPr>
        <w:t xml:space="preserve"> </w:t>
      </w:r>
    </w:p>
    <w:p>
      <w:pPr>
        <w:pStyle w:val="BodyText2"/>
        <w:jc w:val="left"/>
        <w:rPr>
          <w:rFonts w:ascii="Times New Roman" w:hAnsi="Times New Roman" w:cs="Times New Roman"/>
          <w:sz w:val="24"/>
          <w:szCs w:val="24"/>
          <w:lang w:val="en-GB"/>
        </w:rPr>
      </w:pPr>
      <w:r>
        <w:rPr>
          <w:rFonts w:cs="Times New Roman" w:ascii="Times New Roman" w:hAnsi="Times New Roman"/>
          <w:sz w:val="24"/>
          <w:szCs w:val="24"/>
          <w:lang w:val="en-GB"/>
        </w:rPr>
      </w:r>
      <w:bookmarkStart w:id="6" w:name="_GoBack"/>
      <w:bookmarkStart w:id="7" w:name="_GoBack"/>
      <w:bookmarkEnd w:id="7"/>
    </w:p>
    <w:p>
      <w:pPr>
        <w:pStyle w:val="Normal"/>
        <w:jc w:val="left"/>
        <w:rPr>
          <w:rFonts w:ascii="Times New Roman" w:hAnsi="Times New Roman" w:cs="Times New Roman"/>
          <w:lang w:val="en-GB"/>
        </w:rPr>
      </w:pPr>
      <w:r>
        <w:rPr>
          <w:rFonts w:cs="Times New Roman" w:ascii="Times New Roman" w:hAnsi="Times New Roman"/>
          <w:b/>
          <w:bCs/>
          <w:lang w:val="en-GB"/>
        </w:rPr>
        <w:t>References</w:t>
      </w:r>
      <w:r>
        <w:rPr>
          <w:rFonts w:cs="Times New Roman" w:ascii="Times New Roman" w:hAnsi="Times New Roman"/>
          <w:b w:val="false"/>
          <w:bCs w:val="false"/>
          <w:lang w:val="en-GB"/>
        </w:rPr>
        <w:t xml:space="preserve"> </w:t>
      </w:r>
    </w:p>
    <w:p>
      <w:pPr>
        <w:pStyle w:val="Normal"/>
        <w:ind w:left="426" w:right="-2" w:hanging="426"/>
        <w:jc w:val="left"/>
        <w:rPr>
          <w:rFonts w:ascii="Times New Roman" w:hAnsi="Times New Roman" w:cs="Times New Roman"/>
          <w:lang w:val="en-GB"/>
        </w:rPr>
      </w:pPr>
      <w:r>
        <w:rPr>
          <w:rFonts w:cs="Times New Roman" w:ascii="Times New Roman" w:hAnsi="Times New Roman"/>
          <w:lang w:val="en-GB"/>
        </w:rPr>
        <w:t>[1]</w:t>
        <w:tab/>
      </w:r>
      <w:r>
        <w:rPr>
          <w:rFonts w:cs="Times New Roman" w:ascii="Times New Roman" w:hAnsi="Times New Roman"/>
          <w:lang w:val="en-GB"/>
        </w:rPr>
        <w:t>K. Holmerg and A. Erdemir</w:t>
      </w:r>
      <w:r>
        <w:rPr>
          <w:rFonts w:cs="Times New Roman" w:ascii="Times New Roman" w:hAnsi="Times New Roman"/>
          <w:i/>
          <w:iCs/>
          <w:lang w:val="en-GB"/>
        </w:rPr>
        <w:t xml:space="preserve">, </w:t>
      </w:r>
      <w:r>
        <w:rPr>
          <w:rFonts w:cs="Times New Roman" w:ascii="Times New Roman" w:hAnsi="Times New Roman"/>
          <w:i/>
          <w:iCs/>
          <w:lang w:val="en-GB"/>
        </w:rPr>
        <w:t>Friction</w:t>
      </w:r>
      <w:r>
        <w:rPr>
          <w:rFonts w:cs="Times New Roman" w:ascii="Times New Roman" w:hAnsi="Times New Roman"/>
          <w:lang w:val="en-GB"/>
        </w:rPr>
        <w:t xml:space="preserve">, </w:t>
      </w:r>
      <w:r>
        <w:rPr>
          <w:rFonts w:cs="Times New Roman" w:ascii="Times New Roman" w:hAnsi="Times New Roman"/>
          <w:b/>
          <w:bCs/>
          <w:lang w:val="en-GB"/>
        </w:rPr>
        <w:t>5</w:t>
      </w:r>
      <w:r>
        <w:rPr>
          <w:rFonts w:cs="Times New Roman" w:ascii="Times New Roman" w:hAnsi="Times New Roman"/>
          <w:lang w:val="en-GB"/>
        </w:rPr>
        <w:t>,</w:t>
      </w:r>
      <w:r>
        <w:rPr>
          <w:rFonts w:cs="Times New Roman" w:ascii="Times New Roman" w:hAnsi="Times New Roman"/>
          <w:lang w:val="en-GB"/>
        </w:rPr>
        <w:t xml:space="preserve"> </w:t>
      </w:r>
      <w:r>
        <w:rPr>
          <w:rFonts w:cs="Times New Roman" w:ascii="Times New Roman" w:hAnsi="Times New Roman"/>
          <w:lang w:val="en-GB"/>
        </w:rPr>
        <w:t>263-284</w:t>
      </w:r>
      <w:r>
        <w:rPr>
          <w:rFonts w:cs="Times New Roman" w:ascii="Times New Roman" w:hAnsi="Times New Roman"/>
          <w:lang w:val="en-GB"/>
        </w:rPr>
        <w:t xml:space="preserve"> (</w:t>
      </w:r>
      <w:r>
        <w:rPr>
          <w:rFonts w:cs="Times New Roman" w:ascii="Times New Roman" w:hAnsi="Times New Roman"/>
          <w:lang w:val="en-GB"/>
        </w:rPr>
        <w:t>2017</w:t>
      </w:r>
      <w:r>
        <w:rPr>
          <w:rFonts w:cs="Times New Roman" w:ascii="Times New Roman" w:hAnsi="Times New Roman"/>
          <w:lang w:val="en-GB"/>
        </w:rPr>
        <w:t>).</w:t>
      </w:r>
    </w:p>
    <w:p>
      <w:pPr>
        <w:pStyle w:val="Normal"/>
        <w:ind w:left="426" w:right="-2" w:hanging="426"/>
        <w:jc w:val="left"/>
        <w:rPr>
          <w:rFonts w:ascii="Times New Roman" w:hAnsi="Times New Roman" w:cs="Times New Roman"/>
          <w:lang w:val="en-GB"/>
        </w:rPr>
      </w:pPr>
      <w:r>
        <w:rPr>
          <w:rFonts w:cs="Times New Roman" w:ascii="Times New Roman" w:hAnsi="Times New Roman"/>
          <w:lang w:val="en-GB"/>
        </w:rPr>
        <w:t>[2]</w:t>
        <w:tab/>
      </w:r>
      <w:r>
        <w:rPr>
          <w:rFonts w:cs="Times New Roman" w:ascii="Times New Roman" w:hAnsi="Times New Roman"/>
          <w:lang w:val="en-GB"/>
        </w:rPr>
        <w:t>H. Spikes</w:t>
      </w:r>
      <w:r>
        <w:rPr>
          <w:rFonts w:cs="Times New Roman" w:ascii="Times New Roman" w:hAnsi="Times New Roman"/>
          <w:lang w:val="en-GB"/>
        </w:rPr>
        <w:t xml:space="preserve">, </w:t>
      </w:r>
      <w:r>
        <w:rPr>
          <w:rFonts w:cs="Times New Roman" w:ascii="Times New Roman" w:hAnsi="Times New Roman"/>
          <w:i/>
          <w:iCs/>
          <w:lang w:val="en-GB"/>
        </w:rPr>
        <w:t>Tribol Lett</w:t>
      </w:r>
      <w:r>
        <w:rPr>
          <w:rFonts w:cs="Times New Roman" w:ascii="Times New Roman" w:hAnsi="Times New Roman"/>
          <w:lang w:val="en-GB"/>
        </w:rPr>
        <w:t xml:space="preserve">, </w:t>
      </w:r>
      <w:r>
        <w:rPr>
          <w:rFonts w:cs="Times New Roman" w:ascii="Times New Roman" w:hAnsi="Times New Roman"/>
          <w:b/>
          <w:bCs/>
          <w:lang w:val="en-GB"/>
        </w:rPr>
        <w:t>60</w:t>
      </w:r>
      <w:r>
        <w:rPr>
          <w:rFonts w:cs="Times New Roman" w:ascii="Times New Roman" w:hAnsi="Times New Roman"/>
          <w:b w:val="false"/>
          <w:bCs w:val="false"/>
          <w:lang w:val="en-GB"/>
        </w:rPr>
        <w:t>, 5 (2015).</w:t>
      </w:r>
    </w:p>
    <w:p>
      <w:pPr>
        <w:pStyle w:val="Normal"/>
        <w:ind w:right="-2" w:hanging="0"/>
        <w:jc w:val="left"/>
        <w:rPr/>
      </w:pPr>
      <w:r>
        <w:rPr/>
      </w:r>
    </w:p>
    <w:sectPr>
      <w:headerReference w:type="first" r:id="rId2"/>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Palatino">
    <w:charset w:val="01"/>
    <w:family w:val="roman"/>
    <w:pitch w:val="variable"/>
  </w:font>
  <w:font w:name="Courier New">
    <w:charset w:val="01"/>
    <w:family w:val="roman"/>
    <w:pitch w:val="variable"/>
  </w:font>
  <w:font w:name="Liberation Sans">
    <w:altName w:val="Arial"/>
    <w:charset w:val="01"/>
    <w:family w:val="swiss"/>
    <w:pitch w:val="variable"/>
  </w:font>
  <w:font w:name="Arial">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Times New Roman" w:asciiTheme="minorHAnsi" w:hAnsiTheme="minorHAnsi"/>
        <w:b/>
        <w:b/>
        <w:color w:val="7F7F7F" w:themeColor="text1" w:themeTint="80"/>
        <w:sz w:val="20"/>
        <w:szCs w:val="22"/>
      </w:rPr>
    </w:pPr>
    <w:r>
      <w:rPr>
        <w:rFonts w:cs="Times New Roman" w:ascii="Calibri" w:hAnsi="Calibri" w:asciiTheme="minorHAnsi" w:hAnsiTheme="minorHAnsi"/>
        <w:b/>
        <w:color w:val="7F7F7F" w:themeColor="text1" w:themeTint="80"/>
        <w:sz w:val="20"/>
        <w:szCs w:val="22"/>
      </w:rPr>
      <w:t>European Molecular Liquids Group and Japanese Molecular Liquids Group Annual Meeting (EMLG/JMLG 2026)</w:t>
    </w:r>
  </w:p>
  <w:p>
    <w:pPr>
      <w:pStyle w:val="Header"/>
      <w:tabs>
        <w:tab w:val="clear" w:pos="4320"/>
        <w:tab w:val="right" w:pos="8640" w:leader="none"/>
      </w:tabs>
      <w:jc w:val="center"/>
      <w:rPr>
        <w:rFonts w:ascii="Calibri" w:hAnsi="Calibri" w:cs="Times New Roman" w:asciiTheme="minorHAnsi" w:hAnsiTheme="minorHAnsi"/>
        <w:b/>
        <w:b/>
        <w:color w:val="7F7F7F" w:themeColor="text1" w:themeTint="80"/>
        <w:sz w:val="20"/>
        <w:szCs w:val="22"/>
      </w:rPr>
    </w:pPr>
    <w:r>
      <w:rPr>
        <w:rFonts w:cs="Times New Roman" w:ascii="Calibri" w:hAnsi="Calibri" w:asciiTheme="minorHAnsi" w:hAnsiTheme="minorHAnsi"/>
        <w:b/>
        <w:color w:val="7F7F7F" w:themeColor="text1" w:themeTint="80"/>
        <w:sz w:val="20"/>
        <w:szCs w:val="22"/>
      </w:rPr>
      <w:t>Glasgow (UK), 31</w:t>
    </w:r>
    <w:r>
      <w:rPr>
        <w:rFonts w:cs="Times New Roman" w:ascii="Calibri" w:hAnsi="Calibri" w:asciiTheme="minorHAnsi" w:hAnsiTheme="minorHAnsi"/>
        <w:b/>
        <w:color w:val="7F7F7F" w:themeColor="text1" w:themeTint="80"/>
        <w:sz w:val="20"/>
        <w:szCs w:val="22"/>
        <w:vertAlign w:val="superscript"/>
      </w:rPr>
      <w:t>th</w:t>
    </w:r>
    <w:r>
      <w:rPr>
        <w:rFonts w:cs="Times New Roman" w:ascii="Calibri" w:hAnsi="Calibri" w:asciiTheme="minorHAnsi" w:hAnsiTheme="minorHAnsi"/>
        <w:b/>
        <w:color w:val="7F7F7F" w:themeColor="text1" w:themeTint="80"/>
        <w:sz w:val="20"/>
        <w:szCs w:val="22"/>
      </w:rPr>
      <w:t xml:space="preserve"> August – 4</w:t>
    </w:r>
    <w:r>
      <w:rPr>
        <w:rFonts w:cs="Times New Roman" w:ascii="Calibri" w:hAnsi="Calibri" w:asciiTheme="minorHAnsi" w:hAnsiTheme="minorHAnsi"/>
        <w:b/>
        <w:color w:val="7F7F7F" w:themeColor="text1" w:themeTint="80"/>
        <w:sz w:val="20"/>
        <w:szCs w:val="22"/>
        <w:vertAlign w:val="superscript"/>
      </w:rPr>
      <w:t>th</w:t>
    </w:r>
    <w:r>
      <w:rPr>
        <w:rFonts w:cs="Times New Roman" w:ascii="Calibri" w:hAnsi="Calibri" w:asciiTheme="minorHAnsi" w:hAnsiTheme="minorHAnsi"/>
        <w:b/>
        <w:color w:val="7F7F7F" w:themeColor="text1" w:themeTint="80"/>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character" w:styleId="DefaultParagraphFont" w:default="1">
    <w:name w:val="Default Paragraph Font"/>
    <w:uiPriority w:val="1"/>
    <w:semiHidden/>
    <w:qFormat/>
    <w:rPr/>
  </w:style>
  <w:style w:type="character" w:styleId="InternetLink">
    <w:name w:val="Hyperlink"/>
    <w:basedOn w:val="DefaultParagraphFont"/>
    <w:uiPriority w:val="99"/>
    <w:rPr>
      <w:rFonts w:ascii="Times New Roman" w:hAnsi="Times New Roman" w:cs="Times New Roman"/>
      <w:color w:val="0000FF"/>
      <w:u w:val="single"/>
    </w:rPr>
  </w:style>
  <w:style w:type="character" w:styleId="BodyText2Char" w:customStyle="1">
    <w:name w:val="Body Text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PlainTextChar" w:customStyle="1">
    <w:name w:val="Plain Text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BodyTextIndent2Char" w:customStyle="1">
    <w:name w:val="Body Text Indent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BodyTextIndent3Char" w:customStyle="1">
    <w:name w:val="Body Text Indent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HeaderChar" w:customStyle="1">
    <w:name w:val="Header Char"/>
    <w:basedOn w:val="DefaultParagraphFont"/>
    <w:link w:val="Header"/>
    <w:uiPriority w:val="99"/>
    <w:semiHidden/>
    <w:qFormat/>
    <w:locked/>
    <w:rPr>
      <w:rFonts w:ascii="Palatino" w:hAnsi="Palatino" w:eastAsia="MS Mincho" w:cs="Palatino"/>
      <w:color w:val="000000"/>
      <w:sz w:val="24"/>
      <w:szCs w:val="24"/>
      <w:lang w:val="en-US" w:eastAsia="ja-JP"/>
    </w:rPr>
  </w:style>
  <w:style w:type="character" w:styleId="FooterChar" w:customStyle="1">
    <w:name w:val="Footer Char"/>
    <w:basedOn w:val="DefaultParagraphFont"/>
    <w:link w:val="Footer"/>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qFormat/>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lef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lef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styleId="HeaderandFooter">
    <w:name w:val="Header and Footer"/>
    <w:basedOn w:val="Normal"/>
    <w:qFormat/>
    <w:pPr/>
    <w:rPr/>
  </w:style>
  <w:style w:type="paragraph" w:styleId="Header">
    <w:name w:val="Header"/>
    <w:basedOn w:val="Normal"/>
    <w:link w:val="HeaderChar"/>
    <w:uiPriority w:val="99"/>
    <w:rsid w:val="00e4528e"/>
    <w:pPr>
      <w:tabs>
        <w:tab w:val="clear" w:pos="708"/>
        <w:tab w:val="center" w:pos="4320" w:leader="none"/>
        <w:tab w:val="right" w:pos="8640" w:leader="none"/>
      </w:tabs>
    </w:pPr>
    <w:rPr/>
  </w:style>
  <w:style w:type="paragraph" w:styleId="Footer">
    <w:name w:val="Footer"/>
    <w:basedOn w:val="Normal"/>
    <w:link w:val="Footer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Application>LibreOffice/7.3.7.2$Linux_X86_64 LibreOffice_project/30$Build-2</Application>
  <AppVersion>15.0000</AppVersion>
  <Pages>1</Pages>
  <Words>395</Words>
  <Characters>2558</Characters>
  <CharactersWithSpaces>2944</CharactersWithSpaces>
  <Paragraphs>15</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2026-01-08T10:24:00Z</dcterms:created>
  <dc:creator>ICPM-6</dc:creator>
  <dc:description/>
  <dc:language>en-GB</dc:language>
  <cp:lastModifiedBy/>
  <dcterms:modified xsi:type="dcterms:W3CDTF">2026-06-18T11:09:51Z</dcterms:modified>
  <cp:revision>5</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