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DF85" w14:textId="77777777" w:rsidR="00C6475D" w:rsidRPr="00E17CCD" w:rsidRDefault="00C6475D" w:rsidP="00C6475D">
      <w:pPr>
        <w:jc w:val="center"/>
        <w:rPr>
          <w:rFonts w:ascii="Times New Roman" w:hAnsi="Times New Roman" w:cs="Times New Roman"/>
          <w:b/>
          <w:bCs/>
        </w:rPr>
      </w:pPr>
      <w:r w:rsidRPr="00E17CCD">
        <w:rPr>
          <w:rFonts w:ascii="Times New Roman" w:hAnsi="Times New Roman" w:cs="Times New Roman"/>
          <w:b/>
          <w:bCs/>
          <w:sz w:val="32"/>
          <w:szCs w:val="32"/>
        </w:rPr>
        <w:t>Deep Eutectic Solvents for Biocatalysis:</w:t>
      </w:r>
      <w:r w:rsidRPr="00E17CCD">
        <w:rPr>
          <w:rFonts w:ascii="Times New Roman" w:hAnsi="Times New Roman" w:cs="Times New Roman"/>
          <w:b/>
          <w:bCs/>
          <w:sz w:val="32"/>
          <w:szCs w:val="32"/>
        </w:rPr>
        <w:br/>
        <w:t>Advanced Materials and Enzymatic Modulation</w:t>
      </w:r>
    </w:p>
    <w:p w14:paraId="21D7974F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Calibri" w:eastAsia="Arial" w:hAnsi="Calibri" w:cs="Calibri"/>
        </w:rPr>
      </w:pPr>
    </w:p>
    <w:p w14:paraId="66D468B2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eastAsia="Arial" w:hAnsi="Times New Roman" w:cs="Times New Roman"/>
          <w:b/>
          <w:bCs/>
          <w:vertAlign w:val="superscript"/>
        </w:rPr>
      </w:pPr>
      <w:r w:rsidRPr="00E17CCD">
        <w:rPr>
          <w:rFonts w:ascii="Times New Roman" w:hAnsi="Times New Roman" w:cs="Times New Roman"/>
          <w:b/>
          <w:bCs/>
          <w:u w:val="single"/>
        </w:rPr>
        <w:t>Francisca J. Benítez</w:t>
      </w:r>
      <w:r w:rsidRPr="00E17CCD">
        <w:rPr>
          <w:rFonts w:ascii="Times New Roman" w:hAnsi="Times New Roman" w:cs="Times New Roman"/>
          <w:b/>
          <w:bCs/>
          <w:vertAlign w:val="superscript"/>
        </w:rPr>
        <w:t>1,2</w:t>
      </w:r>
      <w:r w:rsidRPr="00E17CCD">
        <w:rPr>
          <w:rFonts w:ascii="Times New Roman" w:hAnsi="Times New Roman" w:cs="Times New Roman"/>
          <w:b/>
          <w:bCs/>
        </w:rPr>
        <w:t xml:space="preserve">, Elena Formoso </w:t>
      </w:r>
      <w:r w:rsidRPr="00E17CCD">
        <w:rPr>
          <w:rFonts w:ascii="Times New Roman" w:hAnsi="Times New Roman" w:cs="Times New Roman"/>
          <w:b/>
          <w:bCs/>
          <w:vertAlign w:val="superscript"/>
        </w:rPr>
        <w:t>1,3</w:t>
      </w:r>
      <w:r w:rsidRPr="00E17CCD">
        <w:rPr>
          <w:rFonts w:ascii="Times New Roman" w:hAnsi="Times New Roman" w:cs="Times New Roman"/>
          <w:b/>
          <w:bCs/>
        </w:rPr>
        <w:t xml:space="preserve">, Elixabete Rezabal </w:t>
      </w:r>
      <w:r w:rsidRPr="00E17CCD">
        <w:rPr>
          <w:rFonts w:ascii="Times New Roman" w:hAnsi="Times New Roman" w:cs="Times New Roman"/>
          <w:b/>
          <w:bCs/>
          <w:vertAlign w:val="superscript"/>
        </w:rPr>
        <w:t>1,2</w:t>
      </w:r>
    </w:p>
    <w:p w14:paraId="7DC15AF0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Calibri" w:eastAsia="Arial" w:hAnsi="Calibri" w:cs="Calibri"/>
          <w:sz w:val="20"/>
          <w:szCs w:val="20"/>
        </w:rPr>
      </w:pPr>
    </w:p>
    <w:p w14:paraId="7DCAA710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E17CCD">
        <w:rPr>
          <w:rFonts w:ascii="Times New Roman" w:hAnsi="Times New Roman" w:cs="Times New Roman"/>
          <w:sz w:val="20"/>
          <w:szCs w:val="20"/>
          <w:vertAlign w:val="superscript"/>
        </w:rPr>
        <w:t xml:space="preserve">1 </w:t>
      </w:r>
      <w:r w:rsidRPr="00E17CCD">
        <w:rPr>
          <w:rFonts w:ascii="Times New Roman" w:hAnsi="Times New Roman" w:cs="Times New Roman"/>
          <w:sz w:val="20"/>
          <w:szCs w:val="20"/>
        </w:rPr>
        <w:t>Donostia International Physics Center, Donostia - Sebastián, Spain</w:t>
      </w:r>
    </w:p>
    <w:p w14:paraId="62781702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E17CCD">
        <w:rPr>
          <w:rFonts w:ascii="Times New Roman" w:hAnsi="Times New Roman" w:cs="Times New Roman"/>
          <w:sz w:val="20"/>
          <w:szCs w:val="20"/>
          <w:vertAlign w:val="superscript"/>
        </w:rPr>
        <w:t xml:space="preserve">2 </w:t>
      </w:r>
      <w:r w:rsidRPr="00E17CCD">
        <w:rPr>
          <w:rFonts w:ascii="Times New Roman" w:hAnsi="Times New Roman" w:cs="Times New Roman"/>
          <w:sz w:val="20"/>
          <w:szCs w:val="20"/>
        </w:rPr>
        <w:t>Polymers and Advanced Materials Department, Faculty of Chemistry, University of the Basque Country UPV/EHU, Donostia - San Sebastián, Spain</w:t>
      </w:r>
    </w:p>
    <w:p w14:paraId="34178DDB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eastAsia="Arial" w:hAnsi="Times New Roman" w:cs="Times New Roman"/>
          <w:sz w:val="20"/>
          <w:szCs w:val="20"/>
        </w:rPr>
      </w:pPr>
      <w:r w:rsidRPr="00E17CCD">
        <w:rPr>
          <w:rFonts w:ascii="Times New Roman" w:eastAsia="Arial" w:hAnsi="Times New Roman" w:cs="Times New Roman"/>
          <w:sz w:val="20"/>
          <w:szCs w:val="20"/>
          <w:vertAlign w:val="superscript"/>
        </w:rPr>
        <w:t>3</w:t>
      </w:r>
      <w:r w:rsidRPr="00E17CCD">
        <w:rPr>
          <w:rFonts w:ascii="Times New Roman" w:eastAsia="Arial" w:hAnsi="Times New Roman" w:cs="Times New Roman"/>
          <w:sz w:val="20"/>
          <w:szCs w:val="20"/>
        </w:rPr>
        <w:t xml:space="preserve"> </w:t>
      </w:r>
      <w:r w:rsidRPr="00E17CCD">
        <w:rPr>
          <w:rFonts w:ascii="Times New Roman" w:eastAsia="Arial" w:hAnsi="Times New Roman" w:cs="Times New Roman"/>
          <w:sz w:val="20"/>
          <w:szCs w:val="20"/>
          <w:lang w:val="eu-ES"/>
        </w:rPr>
        <w:t>Kimika Fisikoa, Farmazia Fakultatea, Euskal Herriko Unibertsitatea UPV/EHU, Gasteiz, Spain</w:t>
      </w:r>
    </w:p>
    <w:p w14:paraId="06A9D424" w14:textId="7E17E209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Times New Roman" w:eastAsia="Arial" w:hAnsi="Times New Roman" w:cs="Times New Roman"/>
          <w:sz w:val="22"/>
          <w:szCs w:val="22"/>
        </w:rPr>
      </w:pPr>
      <w:r w:rsidRPr="00E17CCD">
        <w:rPr>
          <w:rFonts w:ascii="Times New Roman" w:eastAsia="Arial" w:hAnsi="Times New Roman" w:cs="Times New Roman"/>
          <w:sz w:val="22"/>
          <w:szCs w:val="22"/>
        </w:rPr>
        <w:t>e-mail: francisca.benitez@dipc.org</w:t>
      </w:r>
    </w:p>
    <w:p w14:paraId="3C3C2ACA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Calibri" w:eastAsia="Arial" w:hAnsi="Calibri" w:cs="Calibri"/>
        </w:rPr>
      </w:pPr>
    </w:p>
    <w:p w14:paraId="6B426CAF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rFonts w:ascii="Calibri" w:eastAsia="Arial" w:hAnsi="Calibri" w:cs="Calibri"/>
        </w:rPr>
      </w:pPr>
    </w:p>
    <w:p w14:paraId="6E506597" w14:textId="2887DCFB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left"/>
        <w:rPr>
          <w:rFonts w:ascii="Times New Roman" w:hAnsi="Times New Roman" w:cs="Times New Roman"/>
        </w:rPr>
      </w:pPr>
      <w:r w:rsidRPr="00E17CCD">
        <w:rPr>
          <w:rFonts w:ascii="Times New Roman" w:hAnsi="Times New Roman" w:cs="Times New Roman"/>
        </w:rPr>
        <w:t>Deep eutectic solvents (DESs) are formed through the association of hydrogen-bond acceptors (HBAs) and hydrogen-bond donors (HBDs), generating eutectic mixtures with melting temperatures lower than those of their individual components. Their tunable composition and hydrogen-bonding interactions enable the design of microenvironments of interest for biocatalytic applications.</w:t>
      </w:r>
    </w:p>
    <w:p w14:paraId="1D5640FA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left"/>
        <w:rPr>
          <w:rFonts w:ascii="Times New Roman" w:hAnsi="Times New Roman" w:cs="Times New Roman"/>
        </w:rPr>
      </w:pPr>
    </w:p>
    <w:p w14:paraId="110778AF" w14:textId="6CBF827E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left"/>
        <w:rPr>
          <w:rFonts w:ascii="Times New Roman" w:hAnsi="Times New Roman" w:cs="Times New Roman"/>
        </w:rPr>
      </w:pPr>
      <w:r w:rsidRPr="00E17CCD">
        <w:rPr>
          <w:rFonts w:ascii="Times New Roman" w:hAnsi="Times New Roman" w:cs="Times New Roman"/>
        </w:rPr>
        <w:t>An example of DES-</w:t>
      </w:r>
      <w:r w:rsidR="00105488" w:rsidRPr="00E17CCD">
        <w:rPr>
          <w:rFonts w:ascii="Times New Roman" w:hAnsi="Times New Roman" w:cs="Times New Roman"/>
        </w:rPr>
        <w:t>based advanced materials</w:t>
      </w:r>
      <w:r w:rsidRPr="00E17CCD">
        <w:rPr>
          <w:rFonts w:ascii="Times New Roman" w:hAnsi="Times New Roman" w:cs="Times New Roman"/>
        </w:rPr>
        <w:t xml:space="preserve"> </w:t>
      </w:r>
      <w:r w:rsidR="00A1676F" w:rsidRPr="00E17CCD">
        <w:rPr>
          <w:rFonts w:ascii="Times New Roman" w:hAnsi="Times New Roman" w:cs="Times New Roman"/>
        </w:rPr>
        <w:t>is</w:t>
      </w:r>
      <w:r w:rsidRPr="00E17CCD">
        <w:rPr>
          <w:rFonts w:ascii="Times New Roman" w:hAnsi="Times New Roman" w:cs="Times New Roman"/>
        </w:rPr>
        <w:t xml:space="preserve"> eutectozymes, enzyme-loaded eutectogels</w:t>
      </w:r>
      <w:r w:rsidR="00C86A15" w:rsidRPr="00E17CCD">
        <w:rPr>
          <w:rFonts w:ascii="Times New Roman" w:hAnsi="Times New Roman" w:cs="Times New Roman"/>
        </w:rPr>
        <w:t xml:space="preserve"> </w:t>
      </w:r>
      <w:r w:rsidRPr="00E17CCD">
        <w:rPr>
          <w:rFonts w:ascii="Times New Roman" w:hAnsi="Times New Roman" w:cs="Times New Roman"/>
        </w:rPr>
        <w:t>designed to enhance enzyme stability, catalytic efficiency, and operational reusability</w:t>
      </w:r>
      <w:r w:rsidR="00C86A15" w:rsidRPr="00E17CCD">
        <w:rPr>
          <w:rFonts w:ascii="Times New Roman" w:hAnsi="Times New Roman" w:cs="Times New Roman"/>
        </w:rPr>
        <w:t xml:space="preserve"> [1]</w:t>
      </w:r>
      <w:r w:rsidRPr="00E17CCD">
        <w:rPr>
          <w:rFonts w:ascii="Times New Roman" w:hAnsi="Times New Roman" w:cs="Times New Roman"/>
        </w:rPr>
        <w:t xml:space="preserve">. These soft hybrid materials address the need for sustainable and robust biocatalytic platforms and provide an improvement </w:t>
      </w:r>
      <w:r w:rsidR="00A1676F" w:rsidRPr="00E17CCD">
        <w:rPr>
          <w:rFonts w:ascii="Times New Roman" w:hAnsi="Times New Roman" w:cs="Times New Roman"/>
        </w:rPr>
        <w:t>in</w:t>
      </w:r>
      <w:r w:rsidRPr="00E17CCD">
        <w:rPr>
          <w:rFonts w:ascii="Times New Roman" w:hAnsi="Times New Roman" w:cs="Times New Roman"/>
        </w:rPr>
        <w:t xml:space="preserve"> enzymatic immobilization [2]. Compared to conventional systems, their gel-like consistency, biocompatible matrix and resilience under operational conditions opens new avenues in biotechnology, bioelectronics, and environmental technologies. </w:t>
      </w:r>
    </w:p>
    <w:p w14:paraId="66AD9E73" w14:textId="7777777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left"/>
        <w:rPr>
          <w:rFonts w:ascii="Times New Roman" w:hAnsi="Times New Roman" w:cs="Times New Roman"/>
        </w:rPr>
      </w:pPr>
    </w:p>
    <w:p w14:paraId="2DA4898E" w14:textId="74D5AA07" w:rsidR="00C6475D" w:rsidRPr="00E17CCD" w:rsidRDefault="00C6475D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76" w:lineRule="auto"/>
        <w:jc w:val="left"/>
        <w:rPr>
          <w:rFonts w:ascii="Times New Roman" w:hAnsi="Times New Roman" w:cs="Times New Roman"/>
        </w:rPr>
      </w:pPr>
      <w:r w:rsidRPr="00E17CCD">
        <w:rPr>
          <w:rFonts w:ascii="Times New Roman" w:hAnsi="Times New Roman" w:cs="Times New Roman"/>
        </w:rPr>
        <w:t xml:space="preserve">In this talk, we will present </w:t>
      </w:r>
      <w:r w:rsidR="00105488" w:rsidRPr="00E17CCD">
        <w:rPr>
          <w:rFonts w:ascii="Times New Roman" w:hAnsi="Times New Roman" w:cs="Times New Roman"/>
        </w:rPr>
        <w:t xml:space="preserve">computational </w:t>
      </w:r>
      <w:r w:rsidRPr="00E17CCD">
        <w:rPr>
          <w:rFonts w:ascii="Times New Roman" w:hAnsi="Times New Roman" w:cs="Times New Roman"/>
        </w:rPr>
        <w:t xml:space="preserve">research </w:t>
      </w:r>
      <w:r w:rsidR="00105488" w:rsidRPr="00E17CCD">
        <w:rPr>
          <w:rFonts w:ascii="Times New Roman" w:hAnsi="Times New Roman" w:cs="Times New Roman"/>
        </w:rPr>
        <w:t>on such</w:t>
      </w:r>
      <w:r w:rsidRPr="00E17CCD">
        <w:rPr>
          <w:rFonts w:ascii="Times New Roman" w:hAnsi="Times New Roman" w:cs="Times New Roman"/>
        </w:rPr>
        <w:t xml:space="preserve"> DES-based biocatalytic systems, </w:t>
      </w:r>
      <w:r w:rsidR="00105488" w:rsidRPr="00E17CCD">
        <w:rPr>
          <w:rFonts w:ascii="Times New Roman" w:hAnsi="Times New Roman" w:cs="Times New Roman"/>
        </w:rPr>
        <w:t xml:space="preserve">by focusing </w:t>
      </w:r>
      <w:r w:rsidR="00A1676F" w:rsidRPr="00E17CCD">
        <w:rPr>
          <w:rFonts w:ascii="Times New Roman" w:hAnsi="Times New Roman" w:cs="Times New Roman"/>
        </w:rPr>
        <w:t>on</w:t>
      </w:r>
      <w:r w:rsidR="00105488" w:rsidRPr="00E17CCD">
        <w:rPr>
          <w:rFonts w:ascii="Times New Roman" w:hAnsi="Times New Roman" w:cs="Times New Roman"/>
        </w:rPr>
        <w:t xml:space="preserve"> two areas: </w:t>
      </w:r>
      <w:r w:rsidR="00A1676F" w:rsidRPr="00E17CCD">
        <w:rPr>
          <w:rFonts w:ascii="Times New Roman" w:hAnsi="Times New Roman" w:cs="Times New Roman"/>
        </w:rPr>
        <w:t>understanding</w:t>
      </w:r>
      <w:r w:rsidR="00105488" w:rsidRPr="00E17CCD">
        <w:rPr>
          <w:rFonts w:ascii="Times New Roman" w:hAnsi="Times New Roman" w:cs="Times New Roman"/>
        </w:rPr>
        <w:t xml:space="preserve"> the basis of euctectogel</w:t>
      </w:r>
      <w:r w:rsidR="00A1676F" w:rsidRPr="00E17CCD">
        <w:rPr>
          <w:rFonts w:ascii="Times New Roman" w:hAnsi="Times New Roman" w:cs="Times New Roman"/>
        </w:rPr>
        <w:t xml:space="preserve"> stability</w:t>
      </w:r>
      <w:r w:rsidR="00105488" w:rsidRPr="00E17CCD">
        <w:rPr>
          <w:rFonts w:ascii="Times New Roman" w:hAnsi="Times New Roman" w:cs="Times New Roman"/>
        </w:rPr>
        <w:t>, and the modulation of enzymatic activity in DES environments</w:t>
      </w:r>
      <w:r w:rsidRPr="00E17CCD">
        <w:rPr>
          <w:rFonts w:ascii="Times New Roman" w:hAnsi="Times New Roman" w:cs="Times New Roman"/>
        </w:rPr>
        <w:t xml:space="preserve">. A combined computational and experimental approach is used to uncover structure–property </w:t>
      </w:r>
      <w:r w:rsidR="00A1676F" w:rsidRPr="00E17CCD">
        <w:rPr>
          <w:rFonts w:ascii="Times New Roman" w:hAnsi="Times New Roman" w:cs="Times New Roman"/>
        </w:rPr>
        <w:t xml:space="preserve">relationship </w:t>
      </w:r>
      <w:r w:rsidR="00105488" w:rsidRPr="00E17CCD">
        <w:rPr>
          <w:rFonts w:ascii="Times New Roman" w:hAnsi="Times New Roman" w:cs="Times New Roman"/>
        </w:rPr>
        <w:t>of DES-based materials</w:t>
      </w:r>
      <w:r w:rsidRPr="00E17CCD">
        <w:rPr>
          <w:rFonts w:ascii="Times New Roman" w:hAnsi="Times New Roman" w:cs="Times New Roman"/>
        </w:rPr>
        <w:t>, supporting their rational design for targeted functions.</w:t>
      </w:r>
    </w:p>
    <w:p w14:paraId="4F741DEC" w14:textId="77777777" w:rsidR="002D2CBB" w:rsidRPr="00E17CCD" w:rsidRDefault="002D2CBB" w:rsidP="00AF4C78">
      <w:pPr>
        <w:pStyle w:val="Textoindependiente2"/>
        <w:jc w:val="left"/>
        <w:rPr>
          <w:rFonts w:ascii="Times New Roman" w:hAnsi="Times New Roman" w:cs="Times New Roman"/>
          <w:sz w:val="24"/>
          <w:szCs w:val="24"/>
        </w:rPr>
      </w:pPr>
    </w:p>
    <w:p w14:paraId="34ACBC01" w14:textId="77777777" w:rsidR="00455BDA" w:rsidRPr="00E17CCD" w:rsidRDefault="00455BDA" w:rsidP="00AF4C78">
      <w:pPr>
        <w:jc w:val="left"/>
        <w:rPr>
          <w:rFonts w:ascii="Times New Roman" w:hAnsi="Times New Roman" w:cs="Times New Roman"/>
        </w:rPr>
      </w:pPr>
      <w:r w:rsidRPr="00E17CCD">
        <w:rPr>
          <w:rFonts w:ascii="Times New Roman" w:hAnsi="Times New Roman" w:cs="Times New Roman"/>
          <w:b/>
          <w:bCs/>
        </w:rPr>
        <w:t>References</w:t>
      </w:r>
    </w:p>
    <w:p w14:paraId="5D1B1908" w14:textId="2E7B4E9B" w:rsidR="00C6475D" w:rsidRPr="00E17CCD" w:rsidRDefault="00AD0CB5" w:rsidP="00C6475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426" w:hanging="426"/>
        <w:rPr>
          <w:rFonts w:ascii="Times New Roman" w:hAnsi="Times New Roman" w:cs="Times New Roman"/>
        </w:rPr>
      </w:pPr>
      <w:r w:rsidRPr="00E17CCD">
        <w:rPr>
          <w:rFonts w:ascii="Times New Roman" w:hAnsi="Times New Roman" w:cs="Times New Roman"/>
        </w:rPr>
        <w:t>[1]</w:t>
      </w:r>
      <w:r w:rsidRPr="00E17CCD">
        <w:rPr>
          <w:rFonts w:ascii="Times New Roman" w:hAnsi="Times New Roman" w:cs="Times New Roman"/>
        </w:rPr>
        <w:tab/>
      </w:r>
      <w:r w:rsidR="00C86A15" w:rsidRPr="00E17CCD">
        <w:rPr>
          <w:rFonts w:ascii="Times New Roman" w:hAnsi="Times New Roman" w:cs="Times New Roman"/>
        </w:rPr>
        <w:t>K. Kumar, M. Calderón, A. Beloqui, and M. L. Picchio</w:t>
      </w:r>
      <w:r w:rsidR="00C6475D" w:rsidRPr="00E17CCD">
        <w:t>,</w:t>
      </w:r>
      <w:r w:rsidR="00C6475D" w:rsidRPr="00E17CCD">
        <w:rPr>
          <w:rFonts w:ascii="Times New Roman" w:hAnsi="Times New Roman" w:cs="Times New Roman"/>
        </w:rPr>
        <w:t xml:space="preserve"> </w:t>
      </w:r>
      <w:r w:rsidR="00C86A15" w:rsidRPr="00E17CCD">
        <w:rPr>
          <w:rFonts w:ascii="Times New Roman" w:hAnsi="Times New Roman" w:cs="Times New Roman"/>
          <w:i/>
          <w:iCs/>
        </w:rPr>
        <w:t>Chemcatchem</w:t>
      </w:r>
      <w:r w:rsidR="00C6475D" w:rsidRPr="00E17CCD">
        <w:rPr>
          <w:rFonts w:ascii="Times New Roman" w:hAnsi="Times New Roman" w:cs="Times New Roman"/>
        </w:rPr>
        <w:t xml:space="preserve">, </w:t>
      </w:r>
      <w:r w:rsidR="00C86A15" w:rsidRPr="00E17CCD">
        <w:rPr>
          <w:rFonts w:ascii="Times New Roman" w:hAnsi="Times New Roman" w:cs="Times New Roman"/>
          <w:b/>
          <w:bCs/>
        </w:rPr>
        <w:t>16</w:t>
      </w:r>
      <w:r w:rsidR="00C6475D" w:rsidRPr="00E17CCD">
        <w:rPr>
          <w:rFonts w:ascii="Times New Roman" w:hAnsi="Times New Roman" w:cs="Times New Roman"/>
        </w:rPr>
        <w:t>, 1</w:t>
      </w:r>
      <w:r w:rsidR="00C86A15" w:rsidRPr="00E17CCD">
        <w:rPr>
          <w:rFonts w:ascii="Times New Roman" w:hAnsi="Times New Roman" w:cs="Times New Roman"/>
        </w:rPr>
        <w:t>2</w:t>
      </w:r>
      <w:r w:rsidR="00C6475D" w:rsidRPr="00E17CCD">
        <w:rPr>
          <w:rFonts w:ascii="Times New Roman" w:hAnsi="Times New Roman" w:cs="Times New Roman"/>
        </w:rPr>
        <w:t>,</w:t>
      </w:r>
      <w:r w:rsidR="00C6475D" w:rsidRPr="00E17CCD">
        <w:t xml:space="preserve"> </w:t>
      </w:r>
      <w:r w:rsidR="00C86A15" w:rsidRPr="00E17CCD">
        <w:rPr>
          <w:rFonts w:ascii="Times New Roman" w:hAnsi="Times New Roman" w:cs="Times New Roman"/>
        </w:rPr>
        <w:t>e202400204</w:t>
      </w:r>
      <w:r w:rsidR="00C6475D" w:rsidRPr="00E17CCD">
        <w:t>. (2024).</w:t>
      </w:r>
    </w:p>
    <w:p w14:paraId="32655A34" w14:textId="33ACD367" w:rsidR="009B7FE3" w:rsidRPr="00E17CCD" w:rsidRDefault="00AD0CB5" w:rsidP="00C6475D">
      <w:pPr>
        <w:ind w:left="426" w:right="-2" w:hanging="426"/>
        <w:jc w:val="left"/>
        <w:rPr>
          <w:rFonts w:ascii="Times New Roman" w:hAnsi="Times New Roman" w:cs="Times New Roman"/>
          <w:color w:val="auto"/>
        </w:rPr>
      </w:pPr>
      <w:r w:rsidRPr="00E17CCD">
        <w:rPr>
          <w:rFonts w:ascii="Times New Roman" w:hAnsi="Times New Roman" w:cs="Times New Roman"/>
        </w:rPr>
        <w:t>[2]</w:t>
      </w:r>
      <w:r w:rsidRPr="00E17CCD">
        <w:rPr>
          <w:rFonts w:ascii="Times New Roman" w:hAnsi="Times New Roman" w:cs="Times New Roman"/>
        </w:rPr>
        <w:tab/>
      </w:r>
      <w:r w:rsidR="00C6475D" w:rsidRPr="00E17CCD">
        <w:rPr>
          <w:rFonts w:ascii="Times New Roman" w:hAnsi="Times New Roman" w:cs="Times New Roman"/>
        </w:rPr>
        <w:t>M. E. Martínez Cartagena, L. Suarez, A. Ontoria, F. J. Benítez, E. Rezabal. M. S. Orellano, M. Calderón, C. Huck-Iriart, A. S. Picco, M. L. Picchio, A. Beloqui</w:t>
      </w:r>
      <w:r w:rsidR="00C6475D" w:rsidRPr="00E17CCD">
        <w:rPr>
          <w:rFonts w:ascii="Times New Roman" w:hAnsi="Times New Roman" w:cs="Times New Roman"/>
          <w:i/>
          <w:iCs/>
        </w:rPr>
        <w:t>.</w:t>
      </w:r>
      <w:r w:rsidR="00C6475D" w:rsidRPr="00E17CCD">
        <w:rPr>
          <w:rFonts w:ascii="Times New Roman" w:hAnsi="Times New Roman" w:cs="Times New Roman"/>
        </w:rPr>
        <w:t xml:space="preserve"> </w:t>
      </w:r>
      <w:r w:rsidR="00C6475D" w:rsidRPr="00E17CCD">
        <w:rPr>
          <w:rFonts w:ascii="Times New Roman" w:hAnsi="Times New Roman" w:cs="Times New Roman"/>
          <w:i/>
          <w:iCs/>
        </w:rPr>
        <w:t>Advanced Materials</w:t>
      </w:r>
      <w:r w:rsidR="00C6475D" w:rsidRPr="00E17CCD">
        <w:rPr>
          <w:rFonts w:ascii="Times New Roman" w:hAnsi="Times New Roman" w:cs="Times New Roman"/>
        </w:rPr>
        <w:t>, e17014</w:t>
      </w:r>
      <w:r w:rsidR="00C6475D" w:rsidRPr="00E17CCD">
        <w:t>, (</w:t>
      </w:r>
      <w:r w:rsidR="00C6475D" w:rsidRPr="00E17CCD">
        <w:rPr>
          <w:rFonts w:ascii="Times New Roman" w:hAnsi="Times New Roman" w:cs="Times New Roman"/>
        </w:rPr>
        <w:t>2025</w:t>
      </w:r>
      <w:r w:rsidR="00C6475D" w:rsidRPr="00E17CCD">
        <w:t>).</w:t>
      </w:r>
    </w:p>
    <w:sectPr w:rsidR="009B7FE3" w:rsidRPr="00E17CC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EBBB2" w14:textId="77777777" w:rsidR="003A73C2" w:rsidRDefault="003A73C2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5D88A891" w14:textId="77777777" w:rsidR="003A73C2" w:rsidRDefault="003A73C2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23160" w14:textId="77777777" w:rsidR="003A73C2" w:rsidRDefault="003A73C2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DC7F427" w14:textId="77777777" w:rsidR="003A73C2" w:rsidRDefault="003A73C2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3E424" w14:textId="77777777" w:rsidR="005C305C" w:rsidRPr="005C305C" w:rsidRDefault="009D76BD" w:rsidP="005C305C">
    <w:pPr>
      <w:pStyle w:val="Encabezado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0C041551" w14:textId="77777777" w:rsidR="00121503" w:rsidRPr="005C305C" w:rsidRDefault="009D76BD" w:rsidP="005C305C">
    <w:pPr>
      <w:pStyle w:val="Encabezado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1681F"/>
    <w:rsid w:val="000908E8"/>
    <w:rsid w:val="000D2FA6"/>
    <w:rsid w:val="000E068C"/>
    <w:rsid w:val="000E2212"/>
    <w:rsid w:val="00105488"/>
    <w:rsid w:val="001074BF"/>
    <w:rsid w:val="00121503"/>
    <w:rsid w:val="00193928"/>
    <w:rsid w:val="00231302"/>
    <w:rsid w:val="00253636"/>
    <w:rsid w:val="00263205"/>
    <w:rsid w:val="00274257"/>
    <w:rsid w:val="002A2BE3"/>
    <w:rsid w:val="002D2CBB"/>
    <w:rsid w:val="002E2D20"/>
    <w:rsid w:val="00347A46"/>
    <w:rsid w:val="00353EAC"/>
    <w:rsid w:val="00365F82"/>
    <w:rsid w:val="003A73C2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736CAF"/>
    <w:rsid w:val="00790F76"/>
    <w:rsid w:val="007C1576"/>
    <w:rsid w:val="007C5B23"/>
    <w:rsid w:val="007D40D8"/>
    <w:rsid w:val="007F08FF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1676F"/>
    <w:rsid w:val="00A462F7"/>
    <w:rsid w:val="00A557B0"/>
    <w:rsid w:val="00A805D7"/>
    <w:rsid w:val="00AA11ED"/>
    <w:rsid w:val="00AC16A9"/>
    <w:rsid w:val="00AD0CB5"/>
    <w:rsid w:val="00AF4C78"/>
    <w:rsid w:val="00B70E27"/>
    <w:rsid w:val="00C10869"/>
    <w:rsid w:val="00C6475D"/>
    <w:rsid w:val="00C75D52"/>
    <w:rsid w:val="00C86A15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E17CCD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F395D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Pr>
      <w:rFonts w:ascii="Times New Roman" w:hAnsi="Times New Roman"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ind w:firstLine="284"/>
    </w:pPr>
    <w:rPr>
      <w:sz w:val="22"/>
      <w:szCs w:val="22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Textosinformato">
    <w:name w:val="Plain Text"/>
    <w:basedOn w:val="Normal"/>
    <w:link w:val="TextosinformatoC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Sangra2detindependiente">
    <w:name w:val="Body Text Indent 2"/>
    <w:basedOn w:val="Normal"/>
    <w:link w:val="Sangra2detindependienteC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Sangra3detindependiente">
    <w:name w:val="Body Text Indent 3"/>
    <w:basedOn w:val="Normal"/>
    <w:link w:val="Sangra3detindependienteC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Encabezado">
    <w:name w:val="header"/>
    <w:basedOn w:val="Normal"/>
    <w:link w:val="EncabezadoC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iedepgina">
    <w:name w:val="footer"/>
    <w:basedOn w:val="Normal"/>
    <w:link w:val="PiedepginaC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Nmerodepgina">
    <w:name w:val="page number"/>
    <w:basedOn w:val="Fuentedeprrafopredeter"/>
    <w:uiPriority w:val="99"/>
    <w:rsid w:val="00E4528E"/>
    <w:rPr>
      <w:rFonts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343E7-AFE9-4F25-938E-93734AB7F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330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Administrador</cp:lastModifiedBy>
  <cp:revision>4</cp:revision>
  <cp:lastPrinted>2016-01-14T19:34:00Z</cp:lastPrinted>
  <dcterms:created xsi:type="dcterms:W3CDTF">2026-05-13T12:50:00Z</dcterms:created>
  <dcterms:modified xsi:type="dcterms:W3CDTF">2026-05-13T13:52:00Z</dcterms:modified>
</cp:coreProperties>
</file>