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A136" w14:textId="521C1F64" w:rsidR="00455BDA" w:rsidRPr="00414C25" w:rsidRDefault="00DE43EA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bookmarkStart w:id="0" w:name="_Hlk230098727"/>
      <w:bookmarkEnd w:id="0"/>
      <w:r w:rsidRPr="00DE43EA">
        <w:rPr>
          <w:rFonts w:ascii="Times New Roman" w:hAnsi="Times New Roman" w:cs="Times New Roman"/>
          <w:b/>
          <w:bCs/>
          <w:sz w:val="32"/>
          <w:szCs w:val="32"/>
        </w:rPr>
        <w:t xml:space="preserve">On The Aggregation of Amphiphiles in Water: </w:t>
      </w:r>
      <w:r w:rsidRPr="00DE43EA">
        <w:rPr>
          <w:rFonts w:ascii="Times New Roman" w:hAnsi="Times New Roman" w:cs="Times New Roman"/>
          <w:b/>
          <w:bCs/>
          <w:sz w:val="32"/>
          <w:szCs w:val="32"/>
        </w:rPr>
        <w:t>Hydrotropy as the missing link between salts and surfactants</w:t>
      </w:r>
    </w:p>
    <w:p w14:paraId="65EB6DEE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13E53116" w14:textId="57D6A9B8" w:rsidR="00455BDA" w:rsidRPr="0035363B" w:rsidRDefault="008F4F8F">
      <w:pPr>
        <w:jc w:val="center"/>
        <w:rPr>
          <w:rFonts w:ascii="Times New Roman" w:hAnsi="Times New Roman" w:cs="Times New Roman"/>
          <w:b/>
          <w:bCs/>
          <w:lang w:val="pt-PT"/>
        </w:rPr>
      </w:pPr>
      <w:r w:rsidRPr="0035363B">
        <w:rPr>
          <w:rFonts w:ascii="Times New Roman" w:hAnsi="Times New Roman" w:cs="Times New Roman"/>
          <w:b/>
          <w:bCs/>
          <w:lang w:val="pt-PT"/>
        </w:rPr>
        <w:t xml:space="preserve">Dinis O. </w:t>
      </w:r>
      <w:r w:rsidR="00455BDA" w:rsidRPr="0035363B">
        <w:rPr>
          <w:rFonts w:ascii="Times New Roman" w:hAnsi="Times New Roman" w:cs="Times New Roman"/>
          <w:b/>
          <w:bCs/>
          <w:lang w:val="pt-PT"/>
        </w:rPr>
        <w:t>A</w:t>
      </w:r>
      <w:r w:rsidRPr="0035363B">
        <w:rPr>
          <w:rFonts w:ascii="Times New Roman" w:hAnsi="Times New Roman" w:cs="Times New Roman"/>
          <w:b/>
          <w:bCs/>
          <w:lang w:val="pt-PT"/>
        </w:rPr>
        <w:t>branches</w:t>
      </w:r>
      <w:r w:rsidR="00455BDA" w:rsidRPr="0035363B">
        <w:rPr>
          <w:rFonts w:ascii="Times New Roman" w:hAnsi="Times New Roman" w:cs="Times New Roman"/>
          <w:b/>
          <w:bCs/>
          <w:vertAlign w:val="superscript"/>
          <w:lang w:val="pt-PT"/>
        </w:rPr>
        <w:t>1</w:t>
      </w:r>
      <w:r w:rsidR="00455BDA" w:rsidRPr="0035363B">
        <w:rPr>
          <w:rFonts w:ascii="Times New Roman" w:hAnsi="Times New Roman" w:cs="Times New Roman"/>
          <w:b/>
          <w:bCs/>
          <w:lang w:val="pt-PT"/>
        </w:rPr>
        <w:t xml:space="preserve">, </w:t>
      </w:r>
      <w:r w:rsidR="00DE43EA" w:rsidRPr="0035363B">
        <w:rPr>
          <w:rFonts w:ascii="Times New Roman" w:hAnsi="Times New Roman" w:cs="Times New Roman"/>
          <w:b/>
          <w:bCs/>
          <w:u w:val="single"/>
          <w:lang w:val="pt-PT"/>
        </w:rPr>
        <w:t>João A. P. Coutinho</w:t>
      </w:r>
      <w:r w:rsidR="0035363B">
        <w:rPr>
          <w:rFonts w:ascii="Times New Roman" w:hAnsi="Times New Roman" w:cs="Times New Roman"/>
          <w:b/>
          <w:bCs/>
          <w:u w:val="single"/>
          <w:vertAlign w:val="superscript"/>
          <w:lang w:val="pt-PT"/>
        </w:rPr>
        <w:t>1</w:t>
      </w:r>
    </w:p>
    <w:p w14:paraId="61B4ABA2" w14:textId="3584FAF8" w:rsidR="00455BDA" w:rsidRPr="00414C25" w:rsidRDefault="00775864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775864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775864">
        <w:rPr>
          <w:rFonts w:ascii="Times New Roman" w:hAnsi="Times New Roman" w:cs="Times New Roman"/>
          <w:sz w:val="22"/>
          <w:szCs w:val="22"/>
        </w:rPr>
        <w:t xml:space="preserve">CICECO – Aveiro Institute of Materials, </w:t>
      </w:r>
      <w:r w:rsidRPr="00775864">
        <w:rPr>
          <w:rFonts w:ascii="Times New Roman" w:hAnsi="Times New Roman" w:cs="Times New Roman"/>
          <w:sz w:val="22"/>
          <w:szCs w:val="22"/>
        </w:rPr>
        <w:t xml:space="preserve">Department </w:t>
      </w:r>
      <w:r>
        <w:rPr>
          <w:rFonts w:ascii="Times New Roman" w:hAnsi="Times New Roman" w:cs="Times New Roman"/>
          <w:sz w:val="22"/>
          <w:szCs w:val="22"/>
        </w:rPr>
        <w:t xml:space="preserve">of Chemistry, </w:t>
      </w:r>
      <w:r w:rsidRPr="00775864">
        <w:rPr>
          <w:rFonts w:ascii="Times New Roman" w:hAnsi="Times New Roman" w:cs="Times New Roman"/>
          <w:sz w:val="22"/>
          <w:szCs w:val="22"/>
        </w:rPr>
        <w:t>University of Aveiro, 3810-193, Aveiro, Portugal</w:t>
      </w:r>
    </w:p>
    <w:p w14:paraId="6B294EF9" w14:textId="173A6016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775864">
        <w:rPr>
          <w:rFonts w:ascii="Times New Roman" w:hAnsi="Times New Roman" w:cs="Times New Roman"/>
          <w:sz w:val="22"/>
          <w:szCs w:val="22"/>
          <w:lang w:val="en-GB"/>
        </w:rPr>
        <w:t>jcoutinho@ua.pt</w:t>
      </w:r>
    </w:p>
    <w:p w14:paraId="2AC7A097" w14:textId="77777777" w:rsidR="00455BDA" w:rsidRPr="00414C25" w:rsidRDefault="00455BDA" w:rsidP="00775864">
      <w:pPr>
        <w:rPr>
          <w:rFonts w:ascii="Times New Roman" w:hAnsi="Times New Roman" w:cs="Times New Roman"/>
          <w:lang w:val="en-GB"/>
        </w:rPr>
      </w:pPr>
    </w:p>
    <w:p w14:paraId="7862C853" w14:textId="45A71F2A" w:rsidR="008F4F8F" w:rsidRDefault="00775864" w:rsidP="00775864">
      <w:pPr>
        <w:rPr>
          <w:rFonts w:ascii="Times New Roman" w:hAnsi="Times New Roman" w:cs="Times New Roman"/>
        </w:rPr>
      </w:pPr>
      <w:r>
        <w:rPr>
          <w:rFonts w:asciiTheme="majorHAnsi" w:hAnsiTheme="majorHAnsi" w:cs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8F4E9B1" wp14:editId="5A58B6D8">
            <wp:simplePos x="0" y="0"/>
            <wp:positionH relativeFrom="column">
              <wp:posOffset>1411605</wp:posOffset>
            </wp:positionH>
            <wp:positionV relativeFrom="paragraph">
              <wp:posOffset>2007235</wp:posOffset>
            </wp:positionV>
            <wp:extent cx="2746262" cy="1676400"/>
            <wp:effectExtent l="0" t="0" r="0" b="0"/>
            <wp:wrapTopAndBottom/>
            <wp:docPr id="113651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262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4F8F" w:rsidRPr="00372F4C">
        <w:rPr>
          <w:rFonts w:ascii="Times New Roman" w:hAnsi="Times New Roman" w:cs="Times New Roman"/>
        </w:rPr>
        <w:t xml:space="preserve">Hydrotropes and surfactants are commonly employed to enhance the aqueous solubility of hydrophobic compounds, </w:t>
      </w:r>
      <w:r>
        <w:rPr>
          <w:rFonts w:ascii="Times New Roman" w:hAnsi="Times New Roman" w:cs="Times New Roman"/>
        </w:rPr>
        <w:t>and</w:t>
      </w:r>
      <w:r w:rsidR="008F4F8F" w:rsidRPr="00372F4C">
        <w:rPr>
          <w:rFonts w:ascii="Times New Roman" w:hAnsi="Times New Roman" w:cs="Times New Roman"/>
        </w:rPr>
        <w:t xml:space="preserve"> they are traditionally regarded as distinct classes based on the assumption that surfactants solubilize via micelle formation whereas hydrotropes do not. In </w:t>
      </w:r>
      <w:r w:rsidR="008F4F8F">
        <w:rPr>
          <w:rFonts w:ascii="Times New Roman" w:hAnsi="Times New Roman" w:cs="Times New Roman"/>
        </w:rPr>
        <w:t xml:space="preserve">the first part of this communication </w:t>
      </w:r>
      <w:r w:rsidR="008F4F8F" w:rsidRPr="00372F4C">
        <w:rPr>
          <w:rFonts w:ascii="Times New Roman" w:hAnsi="Times New Roman" w:cs="Times New Roman"/>
        </w:rPr>
        <w:t>this distinction is critically examined by systematically investigating the solubilization of carbamazepine in aqueous solutions of two homologous families</w:t>
      </w:r>
      <w:r>
        <w:rPr>
          <w:rFonts w:ascii="Times New Roman" w:hAnsi="Times New Roman" w:cs="Times New Roman"/>
        </w:rPr>
        <w:t>:</w:t>
      </w:r>
      <w:r w:rsidR="008F4F8F" w:rsidRPr="00372F4C">
        <w:rPr>
          <w:rFonts w:ascii="Times New Roman" w:hAnsi="Times New Roman" w:cs="Times New Roman"/>
        </w:rPr>
        <w:t xml:space="preserve"> sodium sulfates and sodium sulfonates, spanning species from inorganic salts to classical surfactants</w:t>
      </w:r>
      <w:r>
        <w:rPr>
          <w:rFonts w:ascii="Times New Roman" w:hAnsi="Times New Roman" w:cs="Times New Roman"/>
        </w:rPr>
        <w:t xml:space="preserve">. </w:t>
      </w:r>
      <w:r w:rsidR="008F4F8F" w:rsidRPr="00372F4C">
        <w:rPr>
          <w:rFonts w:ascii="Times New Roman" w:hAnsi="Times New Roman" w:cs="Times New Roman"/>
        </w:rPr>
        <w:t xml:space="preserve">Across </w:t>
      </w:r>
      <w:r>
        <w:rPr>
          <w:rFonts w:ascii="Times New Roman" w:hAnsi="Times New Roman" w:cs="Times New Roman"/>
        </w:rPr>
        <w:t>these</w:t>
      </w:r>
      <w:r w:rsidR="008F4F8F" w:rsidRPr="00372F4C">
        <w:rPr>
          <w:rFonts w:ascii="Times New Roman" w:hAnsi="Times New Roman" w:cs="Times New Roman"/>
        </w:rPr>
        <w:t xml:space="preserve"> families, solubility enhancement increases monotonically with the apolar volume of the anion,</w:t>
      </w:r>
      <w:r w:rsidR="00416DD7">
        <w:rPr>
          <w:rFonts w:ascii="Times New Roman" w:hAnsi="Times New Roman" w:cs="Times New Roman"/>
        </w:rPr>
        <w:t>[1]</w:t>
      </w:r>
      <w:r w:rsidR="008F4F8F">
        <w:rPr>
          <w:rFonts w:ascii="Times New Roman" w:hAnsi="Times New Roman" w:cs="Times New Roman"/>
        </w:rPr>
        <w:t xml:space="preserve"> as shown in Figure 1,</w:t>
      </w:r>
      <w:r w:rsidR="008F4F8F" w:rsidRPr="00372F4C">
        <w:rPr>
          <w:rFonts w:ascii="Times New Roman" w:hAnsi="Times New Roman" w:cs="Times New Roman"/>
        </w:rPr>
        <w:t xml:space="preserve"> with densely charged ions inducing salting-out and amphiphilic </w:t>
      </w:r>
      <w:r>
        <w:rPr>
          <w:rFonts w:ascii="Times New Roman" w:hAnsi="Times New Roman" w:cs="Times New Roman"/>
        </w:rPr>
        <w:t>compounds</w:t>
      </w:r>
      <w:r w:rsidR="008F4F8F" w:rsidRPr="00372F4C">
        <w:rPr>
          <w:rFonts w:ascii="Times New Roman" w:hAnsi="Times New Roman" w:cs="Times New Roman"/>
        </w:rPr>
        <w:t xml:space="preserve"> promoting salting-in. Analysis of the dilute concentration regime using </w:t>
      </w:r>
      <w:proofErr w:type="spellStart"/>
      <w:r w:rsidR="008F4F8F" w:rsidRPr="00372F4C">
        <w:rPr>
          <w:rFonts w:ascii="Times New Roman" w:hAnsi="Times New Roman" w:cs="Times New Roman"/>
        </w:rPr>
        <w:t>Setschenow</w:t>
      </w:r>
      <w:proofErr w:type="spellEnd"/>
      <w:r w:rsidR="008F4F8F" w:rsidRPr="00372F4C">
        <w:rPr>
          <w:rFonts w:ascii="Times New Roman" w:hAnsi="Times New Roman" w:cs="Times New Roman"/>
        </w:rPr>
        <w:t xml:space="preserve"> constants reveals a continuous trend encompassing hydrotropes and surfactants, with no separation between the</w:t>
      </w:r>
      <w:r w:rsidR="008F4F8F">
        <w:rPr>
          <w:rFonts w:ascii="Times New Roman" w:hAnsi="Times New Roman" w:cs="Times New Roman"/>
        </w:rPr>
        <w:t>m</w:t>
      </w:r>
      <w:r w:rsidR="008F4F8F" w:rsidRPr="00372F4C">
        <w:rPr>
          <w:rFonts w:ascii="Times New Roman" w:hAnsi="Times New Roman" w:cs="Times New Roman"/>
        </w:rPr>
        <w:t xml:space="preserve">. </w:t>
      </w:r>
    </w:p>
    <w:p w14:paraId="06AC9F74" w14:textId="59EEEF2A" w:rsidR="00775864" w:rsidRPr="008F4F8F" w:rsidRDefault="00775864" w:rsidP="00775864">
      <w:pPr>
        <w:jc w:val="center"/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</w:pPr>
      <w:r w:rsidRPr="008F4F8F">
        <w:rPr>
          <w:rFonts w:ascii="Times New Roman" w:hAnsi="Times New Roman" w:cs="Times New Roman"/>
          <w:b/>
          <w:i/>
          <w:iCs/>
          <w:sz w:val="22"/>
          <w:szCs w:val="22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C</w:t>
      </w:r>
      <w:r w:rsidRPr="008F4F8F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orrelation between apolar factor and </w:t>
      </w:r>
      <w:proofErr w:type="spellStart"/>
      <w:r w:rsidRPr="008F4F8F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>Setschenow</w:t>
      </w:r>
      <w:proofErr w:type="spellEnd"/>
      <w:r w:rsidRPr="008F4F8F">
        <w:rPr>
          <w:rFonts w:ascii="Times New Roman" w:eastAsiaTheme="minorEastAsia" w:hAnsi="Times New Roman" w:cs="Times New Roman"/>
          <w:bCs/>
          <w:i/>
          <w:iCs/>
          <w:sz w:val="22"/>
          <w:szCs w:val="22"/>
        </w:rPr>
        <w:t xml:space="preserve"> constants for the sodium alkyl sulfate salts.</w:t>
      </w:r>
    </w:p>
    <w:p w14:paraId="0E1128F0" w14:textId="24F00945" w:rsidR="00775864" w:rsidRPr="00372F4C" w:rsidRDefault="00775864" w:rsidP="00775864">
      <w:pPr>
        <w:rPr>
          <w:rFonts w:ascii="Times New Roman" w:hAnsi="Times New Roman" w:cs="Times New Roman"/>
        </w:rPr>
      </w:pPr>
    </w:p>
    <w:p w14:paraId="00AC0CE5" w14:textId="435C3E0D" w:rsidR="008F4F8F" w:rsidRDefault="008F4F8F" w:rsidP="00775864">
      <w:pPr>
        <w:rPr>
          <w:rFonts w:ascii="Times New Roman" w:hAnsi="Times New Roman" w:cs="Times New Roman"/>
        </w:rPr>
      </w:pPr>
      <w:r w:rsidRPr="00372F4C">
        <w:rPr>
          <w:rFonts w:ascii="Times New Roman" w:hAnsi="Times New Roman" w:cs="Times New Roman"/>
        </w:rPr>
        <w:t xml:space="preserve">At higher </w:t>
      </w:r>
      <w:r>
        <w:rPr>
          <w:rFonts w:ascii="Times New Roman" w:hAnsi="Times New Roman" w:cs="Times New Roman"/>
        </w:rPr>
        <w:t>amphiphile</w:t>
      </w:r>
      <w:r w:rsidRPr="00372F4C">
        <w:rPr>
          <w:rFonts w:ascii="Times New Roman" w:hAnsi="Times New Roman" w:cs="Times New Roman"/>
        </w:rPr>
        <w:t xml:space="preserve"> concentrations, deviations from linear behavior define critical aggregation concentrations that correlate systematically with anion apolarity among hydrotropes and surfactants, and align closely with reported critical micelle concentrations. These results establish a unified framework in which hydrotropes and surfactants follow the same structural and thermodynamic principles, supporting a continuum view of solubilizing agents rather than two fundamentally distinct classes.</w:t>
      </w:r>
    </w:p>
    <w:p w14:paraId="44C561C6" w14:textId="77777777" w:rsidR="00775864" w:rsidRDefault="00775864" w:rsidP="00775864">
      <w:pPr>
        <w:rPr>
          <w:rFonts w:ascii="Times New Roman" w:hAnsi="Times New Roman" w:cs="Times New Roman"/>
        </w:rPr>
      </w:pPr>
    </w:p>
    <w:p w14:paraId="747E24E9" w14:textId="50040B89" w:rsidR="008F4F8F" w:rsidRPr="008F4F8F" w:rsidRDefault="008F4F8F" w:rsidP="00775864">
      <w:pPr>
        <w:autoSpaceDE/>
        <w:autoSpaceDN/>
        <w:rPr>
          <w:rFonts w:ascii="Times New Roman" w:eastAsia="Times New Roman" w:hAnsi="Times New Roman" w:cs="Times New Roman"/>
          <w:color w:val="auto"/>
          <w:lang w:eastAsia="en-GB"/>
        </w:rPr>
      </w:pP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The mechanisms of enhanced solubility 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 xml:space="preserve">on these systems </w:t>
      </w:r>
      <w:r>
        <w:rPr>
          <w:rFonts w:ascii="Times New Roman" w:eastAsia="Times New Roman" w:hAnsi="Times New Roman" w:cs="Times New Roman"/>
          <w:color w:val="auto"/>
          <w:lang w:eastAsia="en-GB"/>
        </w:rPr>
        <w:t>are highlighted by molecular dynamic simulations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>,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and</w:t>
      </w:r>
      <w:r w:rsidR="0035363B">
        <w:rPr>
          <w:rFonts w:ascii="Times New Roman" w:eastAsia="Times New Roman" w:hAnsi="Times New Roman" w:cs="Times New Roman"/>
          <w:color w:val="auto"/>
          <w:lang w:eastAsia="en-GB"/>
        </w:rPr>
        <w:t>, in the final part of this communication,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>it will be shown how other phenomena, apparently unrelated</w:t>
      </w:r>
      <w:r w:rsidR="0035363B">
        <w:rPr>
          <w:rFonts w:ascii="Times New Roman" w:eastAsia="Times New Roman" w:hAnsi="Times New Roman" w:cs="Times New Roman"/>
          <w:color w:val="auto"/>
          <w:lang w:eastAsia="en-GB"/>
        </w:rPr>
        <w:t>,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 xml:space="preserve"> such as the impact of dissolved gases on the transport properties of electrolytes</w:t>
      </w:r>
      <w:r w:rsidR="0035363B">
        <w:rPr>
          <w:rFonts w:ascii="Times New Roman" w:eastAsia="Times New Roman" w:hAnsi="Times New Roman" w:cs="Times New Roman"/>
          <w:color w:val="auto"/>
          <w:lang w:eastAsia="en-GB"/>
        </w:rPr>
        <w:t>, [</w:t>
      </w:r>
      <w:r w:rsidR="00416DD7">
        <w:rPr>
          <w:rFonts w:ascii="Times New Roman" w:eastAsia="Times New Roman" w:hAnsi="Times New Roman" w:cs="Times New Roman"/>
          <w:color w:val="auto"/>
          <w:lang w:eastAsia="en-GB"/>
        </w:rPr>
        <w:t>2</w:t>
      </w:r>
      <w:r w:rsidR="0035363B">
        <w:rPr>
          <w:rFonts w:ascii="Times New Roman" w:eastAsia="Times New Roman" w:hAnsi="Times New Roman" w:cs="Times New Roman"/>
          <w:color w:val="auto"/>
          <w:lang w:eastAsia="en-GB"/>
        </w:rPr>
        <w:t>]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 xml:space="preserve"> o</w:t>
      </w:r>
      <w:r w:rsidR="0035363B">
        <w:rPr>
          <w:rFonts w:ascii="Times New Roman" w:eastAsia="Times New Roman" w:hAnsi="Times New Roman" w:cs="Times New Roman"/>
          <w:color w:val="auto"/>
          <w:lang w:eastAsia="en-GB"/>
        </w:rPr>
        <w:t xml:space="preserve">r </w:t>
      </w:r>
      <w:r w:rsidR="00775864">
        <w:rPr>
          <w:rFonts w:ascii="Times New Roman" w:eastAsia="Times New Roman" w:hAnsi="Times New Roman" w:cs="Times New Roman"/>
          <w:color w:val="auto"/>
          <w:lang w:eastAsia="en-GB"/>
        </w:rPr>
        <w:t xml:space="preserve">the solubility of gases in aqueous solutions of ionic liquids, can be understood under the light of the aggregation of amphiphiles in water around an apolar compound. </w:t>
      </w:r>
    </w:p>
    <w:p w14:paraId="0D346DE5" w14:textId="5F612B08" w:rsidR="008F4F8F" w:rsidRDefault="008F4F8F" w:rsidP="00775864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</w:p>
    <w:p w14:paraId="08BDDB63" w14:textId="648ABB2D" w:rsidR="0035363B" w:rsidRPr="00DF23DC" w:rsidRDefault="0035363B" w:rsidP="0035363B">
      <w:pPr>
        <w:pStyle w:val="figurecaption"/>
        <w:widowControl w:val="0"/>
        <w:numPr>
          <w:ilvl w:val="0"/>
          <w:numId w:val="0"/>
        </w:numPr>
        <w:spacing w:before="0" w:after="0"/>
        <w:jc w:val="both"/>
        <w:rPr>
          <w:rFonts w:asciiTheme="majorHAnsi" w:eastAsiaTheme="minorEastAsia" w:hAnsiTheme="majorHAnsi" w:cstheme="majorHAnsi"/>
          <w:color w:val="000000" w:themeColor="text1"/>
          <w:sz w:val="22"/>
          <w:szCs w:val="22"/>
          <w:lang w:eastAsia="ja-JP"/>
        </w:rPr>
      </w:pPr>
      <w:r w:rsidRPr="0035363B">
        <w:rPr>
          <w:bCs/>
          <w:i/>
          <w:iCs/>
          <w:noProof w:val="0"/>
          <w:color w:val="000000" w:themeColor="text1"/>
          <w:sz w:val="24"/>
          <w:szCs w:val="24"/>
        </w:rPr>
        <w:t>Acknowledgment</w:t>
      </w:r>
      <w:r w:rsidRPr="0035363B">
        <w:rPr>
          <w:bCs/>
          <w:i/>
          <w:iCs/>
          <w:noProof w:val="0"/>
          <w:color w:val="000000" w:themeColor="text1"/>
          <w:sz w:val="24"/>
          <w:szCs w:val="24"/>
        </w:rPr>
        <w:t>:</w:t>
      </w:r>
      <w:r>
        <w:rPr>
          <w:b/>
          <w:noProof w:val="0"/>
          <w:color w:val="000000" w:themeColor="text1"/>
          <w:sz w:val="24"/>
          <w:szCs w:val="24"/>
        </w:rPr>
        <w:t xml:space="preserve"> </w:t>
      </w:r>
      <w:r w:rsidRPr="0035363B">
        <w:rPr>
          <w:rFonts w:eastAsiaTheme="minorEastAsia"/>
          <w:color w:val="000000"/>
          <w:sz w:val="24"/>
          <w:szCs w:val="24"/>
          <w:lang w:eastAsia="ja-JP"/>
        </w:rPr>
        <w:t>The authors are grateful to FCT, Portugal</w:t>
      </w:r>
      <w:r w:rsidR="00416DD7">
        <w:rPr>
          <w:rFonts w:eastAsiaTheme="minorEastAsia"/>
          <w:color w:val="000000"/>
          <w:sz w:val="24"/>
          <w:szCs w:val="24"/>
          <w:lang w:eastAsia="ja-JP"/>
        </w:rPr>
        <w:t>,</w:t>
      </w:r>
      <w:r w:rsidRPr="0035363B">
        <w:rPr>
          <w:rFonts w:eastAsiaTheme="minorEastAsia"/>
          <w:color w:val="000000"/>
          <w:sz w:val="24"/>
          <w:szCs w:val="24"/>
          <w:lang w:eastAsia="ja-JP"/>
        </w:rPr>
        <w:t xml:space="preserve"> for financial support through national funds FCT/MCTES (PIDDAC) to CICECO</w:t>
      </w:r>
      <w:r w:rsidR="00416DD7">
        <w:rPr>
          <w:rFonts w:eastAsiaTheme="minorEastAsia"/>
          <w:color w:val="000000"/>
          <w:sz w:val="24"/>
          <w:szCs w:val="24"/>
          <w:lang w:eastAsia="ja-JP"/>
        </w:rPr>
        <w:t xml:space="preserve"> from projects</w:t>
      </w:r>
      <w:r w:rsidRPr="0035363B">
        <w:rPr>
          <w:rFonts w:eastAsiaTheme="minorEastAsia"/>
          <w:color w:val="000000"/>
          <w:sz w:val="24"/>
          <w:szCs w:val="24"/>
          <w:lang w:eastAsia="ja-JP"/>
        </w:rPr>
        <w:t xml:space="preserve"> UID/50011/2025 </w:t>
      </w:r>
      <w:r>
        <w:rPr>
          <w:rFonts w:eastAsiaTheme="minorEastAsia"/>
          <w:color w:val="000000"/>
          <w:sz w:val="24"/>
          <w:szCs w:val="24"/>
          <w:lang w:eastAsia="ja-JP"/>
        </w:rPr>
        <w:t>and</w:t>
      </w:r>
      <w:r w:rsidRPr="0035363B">
        <w:rPr>
          <w:rFonts w:eastAsiaTheme="minorEastAsia"/>
          <w:color w:val="000000"/>
          <w:sz w:val="24"/>
          <w:szCs w:val="24"/>
          <w:lang w:eastAsia="ja-JP"/>
        </w:rPr>
        <w:t xml:space="preserve"> LA/P/0006/2020. </w:t>
      </w:r>
    </w:p>
    <w:p w14:paraId="2DBCC838" w14:textId="77777777" w:rsidR="0035363B" w:rsidRPr="0035363B" w:rsidRDefault="0035363B" w:rsidP="00775864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</w:p>
    <w:p w14:paraId="61801FD6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6F8D1074" w14:textId="4112BF41" w:rsidR="00416DD7" w:rsidRPr="00416DD7" w:rsidRDefault="00AD0CB5" w:rsidP="00E30143">
      <w:pPr>
        <w:ind w:right="-2"/>
        <w:rPr>
          <w:rFonts w:ascii="Times New Roman" w:eastAsia="Times New Roman" w:hAnsi="Times New Roman" w:cs="Times New Roman"/>
          <w:lang w:val="pt-PT" w:eastAsia="pt-PT"/>
        </w:rPr>
      </w:pPr>
      <w:r w:rsidRPr="00416DD7">
        <w:rPr>
          <w:rFonts w:ascii="Times New Roman" w:hAnsi="Times New Roman" w:cs="Times New Roman"/>
          <w:lang w:val="pt-PT"/>
        </w:rPr>
        <w:t>[1]</w:t>
      </w:r>
      <w:r w:rsidR="00416DD7">
        <w:rPr>
          <w:rFonts w:ascii="Times New Roman" w:hAnsi="Times New Roman" w:cs="Times New Roman"/>
          <w:lang w:val="pt-PT"/>
        </w:rPr>
        <w:t xml:space="preserve"> </w:t>
      </w:r>
      <w:r w:rsidR="00416DD7" w:rsidRPr="00416DD7">
        <w:rPr>
          <w:rFonts w:ascii="Times New Roman" w:hAnsi="Times New Roman" w:cs="Times New Roman"/>
          <w:lang w:val="pt-PT"/>
        </w:rPr>
        <w:t>B. P. Soares, D. O. Abranches, T. E. Sintra, A. Leal-</w:t>
      </w:r>
      <w:proofErr w:type="spellStart"/>
      <w:r w:rsidR="00416DD7" w:rsidRPr="00416DD7">
        <w:rPr>
          <w:rFonts w:ascii="Times New Roman" w:hAnsi="Times New Roman" w:cs="Times New Roman"/>
          <w:lang w:val="pt-PT"/>
        </w:rPr>
        <w:t>Duaso</w:t>
      </w:r>
      <w:proofErr w:type="spellEnd"/>
      <w:r w:rsidR="00416DD7" w:rsidRPr="00416DD7">
        <w:rPr>
          <w:rFonts w:ascii="Times New Roman" w:hAnsi="Times New Roman" w:cs="Times New Roman"/>
          <w:lang w:val="pt-PT"/>
        </w:rPr>
        <w:t xml:space="preserve">, J. I. García, E. Pires, S. Shimizu, S. P. Pinho, and J. A. P. Coutinho, </w:t>
      </w:r>
      <w:r w:rsidR="00416DD7" w:rsidRPr="00416DD7">
        <w:rPr>
          <w:rFonts w:ascii="Times New Roman" w:hAnsi="Times New Roman" w:cs="Times New Roman"/>
          <w:i/>
          <w:iCs/>
          <w:lang w:val="pt-PT"/>
        </w:rPr>
        <w:t xml:space="preserve">ACS </w:t>
      </w:r>
      <w:proofErr w:type="spellStart"/>
      <w:r w:rsidR="00416DD7" w:rsidRPr="00416DD7">
        <w:rPr>
          <w:rFonts w:ascii="Times New Roman" w:hAnsi="Times New Roman" w:cs="Times New Roman"/>
          <w:i/>
          <w:iCs/>
          <w:lang w:val="pt-PT"/>
        </w:rPr>
        <w:t>Sustain</w:t>
      </w:r>
      <w:proofErr w:type="spellEnd"/>
      <w:r w:rsidR="00416DD7" w:rsidRPr="00416DD7">
        <w:rPr>
          <w:rFonts w:ascii="Times New Roman" w:hAnsi="Times New Roman" w:cs="Times New Roman"/>
          <w:i/>
          <w:iCs/>
          <w:lang w:val="pt-PT"/>
        </w:rPr>
        <w:t>. Chem. Eng.,</w:t>
      </w:r>
      <w:r w:rsidR="00416DD7" w:rsidRPr="00416DD7">
        <w:rPr>
          <w:rFonts w:ascii="Times New Roman" w:hAnsi="Times New Roman" w:cs="Times New Roman"/>
          <w:lang w:val="pt-PT"/>
        </w:rPr>
        <w:t xml:space="preserve"> </w:t>
      </w:r>
      <w:r w:rsidR="00416DD7" w:rsidRPr="00416DD7">
        <w:rPr>
          <w:rFonts w:ascii="Times New Roman" w:hAnsi="Times New Roman" w:cs="Times New Roman"/>
          <w:b/>
          <w:bCs/>
          <w:lang w:val="pt-PT"/>
        </w:rPr>
        <w:t>8</w:t>
      </w:r>
      <w:r w:rsidR="00416DD7">
        <w:rPr>
          <w:rFonts w:ascii="Times New Roman" w:hAnsi="Times New Roman" w:cs="Times New Roman"/>
          <w:lang w:val="pt-PT"/>
        </w:rPr>
        <w:t xml:space="preserve">, </w:t>
      </w:r>
      <w:r w:rsidR="00416DD7" w:rsidRPr="00416DD7">
        <w:rPr>
          <w:rFonts w:ascii="Times New Roman" w:hAnsi="Times New Roman" w:cs="Times New Roman"/>
          <w:lang w:val="pt-PT"/>
        </w:rPr>
        <w:t>5742</w:t>
      </w:r>
      <w:r w:rsidR="00416DD7">
        <w:rPr>
          <w:rFonts w:ascii="Times New Roman" w:hAnsi="Times New Roman" w:cs="Times New Roman"/>
          <w:lang w:val="pt-PT"/>
        </w:rPr>
        <w:t xml:space="preserve"> </w:t>
      </w:r>
      <w:r w:rsidR="00416DD7" w:rsidRPr="00416DD7">
        <w:rPr>
          <w:rFonts w:ascii="Times New Roman" w:hAnsi="Times New Roman" w:cs="Times New Roman"/>
          <w:lang w:val="pt-PT"/>
        </w:rPr>
        <w:t>(2020)</w:t>
      </w:r>
    </w:p>
    <w:p w14:paraId="236A0B0F" w14:textId="073FF19D" w:rsidR="0035363B" w:rsidRPr="006A41DD" w:rsidRDefault="00AD0CB5" w:rsidP="00E30143">
      <w:pPr>
        <w:ind w:left="426" w:right="-2" w:hanging="426"/>
        <w:rPr>
          <w:rFonts w:ascii="Times New Roman" w:hAnsi="Times New Roman" w:cs="Times New Roman"/>
          <w:color w:val="auto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416DD7">
        <w:rPr>
          <w:rFonts w:ascii="Times New Roman" w:hAnsi="Times New Roman" w:cs="Times New Roman"/>
          <w:lang w:val="en-GB"/>
        </w:rPr>
        <w:t>E. E. Fileti, D. O. Abranches, J. A. P. Coutinho</w:t>
      </w:r>
      <w:r w:rsidR="00416DD7"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 w:rsidR="00416DD7">
        <w:rPr>
          <w:rFonts w:ascii="Times New Roman" w:hAnsi="Times New Roman" w:cs="Times New Roman"/>
          <w:i/>
          <w:iCs/>
          <w:lang w:val="en-GB"/>
        </w:rPr>
        <w:t>J. Phys Chem B</w:t>
      </w:r>
      <w:r w:rsidR="00416DD7" w:rsidRPr="006A41DD">
        <w:rPr>
          <w:rFonts w:ascii="Times New Roman" w:hAnsi="Times New Roman" w:cs="Times New Roman"/>
          <w:lang w:val="en-GB"/>
        </w:rPr>
        <w:t xml:space="preserve">, </w:t>
      </w:r>
      <w:r w:rsidR="00416DD7">
        <w:rPr>
          <w:rFonts w:ascii="Times New Roman" w:hAnsi="Times New Roman" w:cs="Times New Roman"/>
          <w:b/>
          <w:bCs/>
          <w:lang w:val="en-GB"/>
        </w:rPr>
        <w:t>130</w:t>
      </w:r>
      <w:r w:rsidR="00416DD7" w:rsidRPr="006A41DD">
        <w:rPr>
          <w:rFonts w:ascii="Times New Roman" w:hAnsi="Times New Roman" w:cs="Times New Roman"/>
          <w:lang w:val="en-GB"/>
        </w:rPr>
        <w:t xml:space="preserve">, </w:t>
      </w:r>
      <w:r w:rsidR="00416DD7">
        <w:rPr>
          <w:rFonts w:ascii="Times New Roman" w:hAnsi="Times New Roman" w:cs="Times New Roman"/>
          <w:lang w:val="en-GB"/>
        </w:rPr>
        <w:t>5059</w:t>
      </w:r>
      <w:r w:rsidR="00416DD7" w:rsidRPr="006A41DD">
        <w:rPr>
          <w:rFonts w:ascii="Times New Roman" w:hAnsi="Times New Roman" w:cs="Times New Roman"/>
          <w:lang w:val="en-GB"/>
        </w:rPr>
        <w:t xml:space="preserve"> (</w:t>
      </w:r>
      <w:r w:rsidR="00416DD7">
        <w:rPr>
          <w:rFonts w:ascii="Times New Roman" w:hAnsi="Times New Roman" w:cs="Times New Roman"/>
          <w:lang w:val="en-GB"/>
        </w:rPr>
        <w:t>2026</w:t>
      </w:r>
      <w:r w:rsidR="00416DD7" w:rsidRPr="006A41DD">
        <w:rPr>
          <w:rFonts w:ascii="Times New Roman" w:hAnsi="Times New Roman" w:cs="Times New Roman"/>
          <w:lang w:val="en-GB"/>
        </w:rPr>
        <w:t>)</w:t>
      </w:r>
    </w:p>
    <w:sectPr w:rsidR="0035363B" w:rsidRPr="006A41DD" w:rsidSect="000E068C">
      <w:headerReference w:type="first" r:id="rId9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B0847" w14:textId="77777777" w:rsidR="0099479D" w:rsidRDefault="0099479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0083A5C" w14:textId="77777777" w:rsidR="0099479D" w:rsidRDefault="0099479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D136" w14:textId="77777777" w:rsidR="0099479D" w:rsidRDefault="0099479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B499FAC" w14:textId="77777777" w:rsidR="0099479D" w:rsidRDefault="0099479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450B2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3F28A650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6C402C58"/>
    <w:multiLevelType w:val="hybridMultilevel"/>
    <w:tmpl w:val="D2824FA6"/>
    <w:lvl w:ilvl="0" w:tplc="869458A0">
      <w:start w:val="1"/>
      <w:numFmt w:val="decimal"/>
      <w:pStyle w:val="figurecaption"/>
      <w:lvlText w:val="Figure %1. 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A2BE3"/>
    <w:rsid w:val="002D2CBB"/>
    <w:rsid w:val="002E2D20"/>
    <w:rsid w:val="00347A46"/>
    <w:rsid w:val="0035363B"/>
    <w:rsid w:val="00353EAC"/>
    <w:rsid w:val="00365F82"/>
    <w:rsid w:val="00414C25"/>
    <w:rsid w:val="00416DD7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736CAF"/>
    <w:rsid w:val="00775864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8F4F8F"/>
    <w:rsid w:val="0099331B"/>
    <w:rsid w:val="0099479D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C78"/>
    <w:rsid w:val="00B70E27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DE43EA"/>
    <w:rsid w:val="00E30143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F3848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HTML Cite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rsid w:val="008F4F8F"/>
    <w:rPr>
      <w:sz w:val="18"/>
      <w:szCs w:val="18"/>
    </w:rPr>
  </w:style>
  <w:style w:type="paragraph" w:styleId="BodyText">
    <w:name w:val="Body Text"/>
    <w:basedOn w:val="Normal"/>
    <w:link w:val="BodyTextChar"/>
    <w:rsid w:val="0035363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5363B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customStyle="1" w:styleId="figurecaption">
    <w:name w:val="figure caption"/>
    <w:link w:val="figurecaptionChar"/>
    <w:rsid w:val="0035363B"/>
    <w:pPr>
      <w:numPr>
        <w:numId w:val="2"/>
      </w:numPr>
      <w:spacing w:before="80" w:after="200"/>
      <w:jc w:val="center"/>
    </w:pPr>
    <w:rPr>
      <w:noProof/>
      <w:sz w:val="16"/>
      <w:szCs w:val="16"/>
      <w:lang w:val="en-US" w:eastAsia="en-US"/>
    </w:rPr>
  </w:style>
  <w:style w:type="character" w:customStyle="1" w:styleId="figurecaptionChar">
    <w:name w:val="figure caption Char"/>
    <w:link w:val="figurecaption"/>
    <w:rsid w:val="0035363B"/>
    <w:rPr>
      <w:noProof/>
      <w:sz w:val="16"/>
      <w:szCs w:val="16"/>
      <w:lang w:val="en-US" w:eastAsia="en-US"/>
    </w:rPr>
  </w:style>
  <w:style w:type="character" w:styleId="HTMLCite">
    <w:name w:val="HTML Cite"/>
    <w:basedOn w:val="DefaultParagraphFont"/>
    <w:uiPriority w:val="99"/>
    <w:unhideWhenUsed/>
    <w:rsid w:val="0035363B"/>
    <w:rPr>
      <w:i/>
      <w:iCs/>
    </w:rPr>
  </w:style>
  <w:style w:type="character" w:styleId="Strong">
    <w:name w:val="Strong"/>
    <w:basedOn w:val="DefaultParagraphFont"/>
    <w:uiPriority w:val="22"/>
    <w:qFormat/>
    <w:rsid w:val="0035363B"/>
    <w:rPr>
      <w:b/>
      <w:bCs/>
    </w:rPr>
  </w:style>
  <w:style w:type="character" w:styleId="Emphasis">
    <w:name w:val="Emphasis"/>
    <w:basedOn w:val="DefaultParagraphFont"/>
    <w:uiPriority w:val="20"/>
    <w:qFormat/>
    <w:rsid w:val="003536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436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João Coutinho</cp:lastModifiedBy>
  <cp:revision>3</cp:revision>
  <cp:lastPrinted>2016-01-14T19:34:00Z</cp:lastPrinted>
  <dcterms:created xsi:type="dcterms:W3CDTF">2026-05-19T15:19:00Z</dcterms:created>
  <dcterms:modified xsi:type="dcterms:W3CDTF">2026-05-19T15:19:00Z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29337b6c-9e27-4254-af7f-f72a0fbec31e</vt:lpwstr>
  </property>
</Properties>
</file>