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95E6D" w:rsidRPr="00795E6D" w:rsidRDefault="00795E6D" w:rsidP="00795E6D">
      <w:pPr>
        <w:pStyle w:val="a6"/>
        <w:jc w:val="center"/>
        <w:rPr>
          <w:b/>
          <w:sz w:val="32"/>
          <w:szCs w:val="32"/>
          <w:lang w:val="en-GB"/>
        </w:rPr>
      </w:pPr>
      <w:r w:rsidRPr="00414C25">
        <w:rPr>
          <w:b/>
          <w:bCs/>
          <w:sz w:val="32"/>
          <w:szCs w:val="32"/>
          <w:lang w:val="en-GB"/>
        </w:rPr>
        <w:br/>
      </w:r>
      <w:r w:rsidRPr="00795E6D">
        <w:rPr>
          <w:b/>
          <w:sz w:val="32"/>
          <w:szCs w:val="32"/>
          <w:lang w:val="en-GB"/>
        </w:rPr>
        <w:t>Application of the modern theory of associated fluids for the description of self-assembly phenomena of surfactant molecules. Solubilization of biomolecules in reverse micelles.</w:t>
      </w:r>
    </w:p>
    <w:p w:rsidR="00795E6D" w:rsidRPr="00414C25" w:rsidRDefault="00795E6D" w:rsidP="00795E6D">
      <w:pPr>
        <w:jc w:val="center"/>
        <w:rPr>
          <w:rFonts w:ascii="Times New Roman" w:hAnsi="Times New Roman" w:cs="Times New Roman"/>
          <w:sz w:val="20"/>
          <w:szCs w:val="20"/>
          <w:lang w:val="en-GB"/>
        </w:rPr>
      </w:pPr>
    </w:p>
    <w:p w:rsidR="00795E6D" w:rsidRPr="00B75AD5" w:rsidRDefault="00795E6D" w:rsidP="00795E6D">
      <w:pPr>
        <w:jc w:val="center"/>
        <w:rPr>
          <w:rFonts w:ascii="Times New Roman" w:hAnsi="Times New Roman" w:cs="Times New Roman"/>
          <w:b/>
          <w:u w:val="single"/>
          <w:lang w:val="en-GB"/>
        </w:rPr>
      </w:pPr>
      <w:r w:rsidRPr="00B75AD5">
        <w:rPr>
          <w:rFonts w:ascii="Times New Roman" w:hAnsi="Times New Roman" w:cs="Times New Roman"/>
          <w:b/>
          <w:u w:val="single"/>
          <w:shd w:val="clear" w:color="auto" w:fill="FFFFFF"/>
        </w:rPr>
        <w:t>Myroslav Holovko</w:t>
      </w:r>
      <w:r w:rsidRPr="00B75AD5">
        <w:rPr>
          <w:rFonts w:ascii="Times New Roman" w:hAnsi="Times New Roman" w:cs="Times New Roman"/>
          <w:b/>
          <w:u w:val="single"/>
          <w:lang w:val="en-GB"/>
        </w:rPr>
        <w:t xml:space="preserve"> </w:t>
      </w:r>
    </w:p>
    <w:p w:rsidR="00B75AD5" w:rsidRPr="00B75AD5" w:rsidRDefault="00B75AD5" w:rsidP="00B75AD5">
      <w:pPr>
        <w:pStyle w:val="a6"/>
        <w:jc w:val="center"/>
        <w:rPr>
          <w:sz w:val="22"/>
          <w:szCs w:val="22"/>
          <w:lang w:val="en-US"/>
        </w:rPr>
      </w:pPr>
      <w:r w:rsidRPr="00B75AD5">
        <w:rPr>
          <w:sz w:val="22"/>
          <w:szCs w:val="22"/>
        </w:rPr>
        <w:t>Yukhnovskii Institute for Condensed Matter Physics of the NAS of Ukraine,</w:t>
      </w:r>
      <w:r w:rsidRPr="00B75AD5">
        <w:rPr>
          <w:sz w:val="22"/>
          <w:szCs w:val="22"/>
        </w:rPr>
        <w:br/>
        <w:t>1 Svientsitskii str., Lviv, 79011, Ukraine.</w:t>
      </w:r>
    </w:p>
    <w:p w:rsidR="00B75AD5" w:rsidRPr="005C6706" w:rsidRDefault="00795E6D" w:rsidP="00B75AD5">
      <w:pPr>
        <w:jc w:val="center"/>
        <w:rPr>
          <w:rFonts w:ascii="Times New Roman" w:hAnsi="Times New Roman" w:cs="Times New Roman"/>
          <w:sz w:val="22"/>
          <w:szCs w:val="22"/>
          <w:lang w:val="de-DE"/>
        </w:rPr>
      </w:pPr>
      <w:r w:rsidRPr="005C6706">
        <w:rPr>
          <w:rFonts w:ascii="Times New Roman" w:hAnsi="Times New Roman" w:cs="Times New Roman"/>
          <w:sz w:val="22"/>
          <w:szCs w:val="22"/>
          <w:lang w:val="de-DE"/>
        </w:rPr>
        <w:t xml:space="preserve">e-mail: </w:t>
      </w:r>
      <w:hyperlink r:id="rId8" w:tgtFrame="_blank" w:history="1">
        <w:r w:rsidR="00B75AD5" w:rsidRPr="005C6706">
          <w:rPr>
            <w:rStyle w:val="a3"/>
            <w:color w:val="000000" w:themeColor="text1"/>
            <w:sz w:val="22"/>
            <w:szCs w:val="22"/>
            <w:u w:val="none"/>
            <w:lang w:val="de-DE"/>
          </w:rPr>
          <w:t>holovko@icmp.lviv.ua</w:t>
        </w:r>
      </w:hyperlink>
    </w:p>
    <w:p w:rsidR="00385FD8" w:rsidRPr="005C6706" w:rsidRDefault="00385FD8" w:rsidP="00385FD8">
      <w:pPr>
        <w:rPr>
          <w:rFonts w:ascii="Times New Roman" w:hAnsi="Times New Roman" w:cs="Times New Roman"/>
          <w:lang w:val="de-DE"/>
        </w:rPr>
      </w:pPr>
    </w:p>
    <w:p w:rsidR="00B75AD5" w:rsidRDefault="00385FD8" w:rsidP="00385FD8">
      <w:pPr>
        <w:pStyle w:val="a6"/>
        <w:rPr>
          <w:lang w:val="en-GB"/>
        </w:rPr>
      </w:pPr>
      <w:r w:rsidRPr="00D56A91">
        <w:rPr>
          <w:lang w:val="en-GB"/>
        </w:rPr>
        <w:t xml:space="preserve">We </w:t>
      </w:r>
      <w:r w:rsidR="00B75AD5" w:rsidRPr="00D56A91">
        <w:rPr>
          <w:lang w:val="en-GB"/>
        </w:rPr>
        <w:t>analyse</w:t>
      </w:r>
      <w:r w:rsidR="00B75AD5" w:rsidRPr="00B75AD5">
        <w:rPr>
          <w:lang w:val="en-GB"/>
        </w:rPr>
        <w:t xml:space="preserve"> the possibility of </w:t>
      </w:r>
      <w:r w:rsidR="00D56A91">
        <w:rPr>
          <w:lang w:val="en-GB"/>
        </w:rPr>
        <w:t xml:space="preserve">the </w:t>
      </w:r>
      <w:r w:rsidR="00B75AD5" w:rsidRPr="00B75AD5">
        <w:rPr>
          <w:lang w:val="en-GB"/>
        </w:rPr>
        <w:t xml:space="preserve">application of the statistical-mechanical approaches developed in the modern theory of associative fluids for the description of self-assembly phenomena of surfactant molecules in aqueous solutions [1]. In developed theoretical formalism, the potentials of intermolecular interactions are split into three parts. </w:t>
      </w:r>
      <w:hyperlink r:id="rId9" w:tgtFrame="_blank" w:history="1">
        <w:r w:rsidR="00B75AD5" w:rsidRPr="00B75AD5">
          <w:rPr>
            <w:rStyle w:val="a3"/>
            <w:color w:val="000000" w:themeColor="text1"/>
            <w:u w:val="none"/>
            <w:lang w:val="en-GB"/>
          </w:rPr>
          <w:t>One</w:t>
        </w:r>
      </w:hyperlink>
      <w:r w:rsidR="00B75AD5" w:rsidRPr="00B75AD5">
        <w:rPr>
          <w:color w:val="000000" w:themeColor="text1"/>
          <w:lang w:val="en-GB"/>
        </w:rPr>
        <w:t xml:space="preserve"> </w:t>
      </w:r>
      <w:r w:rsidR="00B75AD5" w:rsidRPr="00B75AD5">
        <w:rPr>
          <w:lang w:val="en-GB"/>
        </w:rPr>
        <w:t xml:space="preserve">of them is the short-range repulsive part responsible for excluded volume effects by molecules. The second one is the short-range strongly attractive part responsible for different </w:t>
      </w:r>
      <w:r w:rsidR="00B75AD5" w:rsidRPr="00D56A91">
        <w:rPr>
          <w:lang w:val="en-GB"/>
        </w:rPr>
        <w:t>clusterization</w:t>
      </w:r>
      <w:r w:rsidR="00B75AD5" w:rsidRPr="00B75AD5">
        <w:rPr>
          <w:lang w:val="en-GB"/>
        </w:rPr>
        <w:t xml:space="preserve"> effects, including self-assembly phenomena. The third part is long-range and responsible for the screening and renormalization phenomena. The </w:t>
      </w:r>
      <w:r w:rsidR="005C6706" w:rsidRPr="005C6706">
        <w:rPr>
          <w:color w:val="000000"/>
          <w:shd w:val="clear" w:color="auto" w:fill="FFFFFF"/>
        </w:rPr>
        <w:t>specificity</w:t>
      </w:r>
      <w:r w:rsidR="005C6706">
        <w:rPr>
          <w:rFonts w:ascii="Arial" w:hAnsi="Arial" w:cs="Arial"/>
          <w:color w:val="000000"/>
          <w:sz w:val="20"/>
          <w:szCs w:val="20"/>
          <w:shd w:val="clear" w:color="auto" w:fill="FFFFFF"/>
          <w:lang w:val="en-US"/>
        </w:rPr>
        <w:t xml:space="preserve"> </w:t>
      </w:r>
      <w:r w:rsidR="00B75AD5" w:rsidRPr="00B75AD5">
        <w:rPr>
          <w:lang w:val="en-GB"/>
        </w:rPr>
        <w:t>of the developed approach are connected with the application of the activity diagram expansions for the description of the short-range attractive part of interactions and the density diagram expansions for the description of the last two parts of interactions. Classification and reduction of the obtained diagrams in such expansions leads to the multidensity formalism, whose specificity strongly depends on types of described clusterization phenomena.</w:t>
      </w:r>
    </w:p>
    <w:p w:rsidR="002F093E" w:rsidRPr="005C6706" w:rsidRDefault="00B75AD5" w:rsidP="002F093E">
      <w:pPr>
        <w:pStyle w:val="2"/>
        <w:ind w:firstLine="0"/>
        <w:jc w:val="left"/>
        <w:rPr>
          <w:rFonts w:ascii="Times New Roman" w:hAnsi="Times New Roman" w:cs="Times New Roman"/>
          <w:sz w:val="24"/>
          <w:szCs w:val="24"/>
          <w:lang w:val="en-GB"/>
        </w:rPr>
      </w:pPr>
      <w:r w:rsidRPr="005C6706">
        <w:rPr>
          <w:rFonts w:ascii="Times New Roman" w:hAnsi="Times New Roman" w:cs="Times New Roman"/>
          <w:sz w:val="24"/>
          <w:szCs w:val="24"/>
          <w:lang w:val="en-GB"/>
        </w:rPr>
        <w:t xml:space="preserve">In this report special attention is focused on the application of the developed approach for the description of solubilization of biological molecules in reverse micellar systems and the study of biomolecules' influence on the properties of considered systems. </w:t>
      </w:r>
      <w:hyperlink r:id="rId10" w:tgtFrame="_blank" w:history="1">
        <w:r w:rsidRPr="005C6706">
          <w:rPr>
            <w:rStyle w:val="a3"/>
            <w:color w:val="000000" w:themeColor="text1"/>
            <w:sz w:val="24"/>
            <w:szCs w:val="24"/>
            <w:u w:val="none"/>
            <w:lang w:val="en-GB"/>
          </w:rPr>
          <w:t>As</w:t>
        </w:r>
      </w:hyperlink>
      <w:r w:rsidRPr="005C6706">
        <w:rPr>
          <w:rFonts w:ascii="Times New Roman" w:hAnsi="Times New Roman" w:cs="Times New Roman"/>
          <w:color w:val="000000" w:themeColor="text1"/>
          <w:sz w:val="24"/>
          <w:szCs w:val="24"/>
          <w:lang w:val="en-GB"/>
        </w:rPr>
        <w:t xml:space="preserve"> </w:t>
      </w:r>
      <w:r w:rsidRPr="005C6706">
        <w:rPr>
          <w:rFonts w:ascii="Times New Roman" w:hAnsi="Times New Roman" w:cs="Times New Roman"/>
          <w:sz w:val="24"/>
          <w:szCs w:val="24"/>
          <w:lang w:val="en-GB"/>
        </w:rPr>
        <w:t>an example, we consid</w:t>
      </w:r>
      <w:r w:rsidR="005C6706">
        <w:rPr>
          <w:rFonts w:ascii="Times New Roman" w:hAnsi="Times New Roman" w:cs="Times New Roman"/>
          <w:sz w:val="24"/>
          <w:szCs w:val="24"/>
          <w:lang w:val="en-GB"/>
        </w:rPr>
        <w:t>er solubilization of cytochrome-</w:t>
      </w:r>
      <w:r w:rsidRPr="005C6706">
        <w:rPr>
          <w:rFonts w:ascii="Times New Roman" w:hAnsi="Times New Roman" w:cs="Times New Roman"/>
          <w:sz w:val="24"/>
          <w:szCs w:val="24"/>
          <w:lang w:val="en-GB"/>
        </w:rPr>
        <w:t>c in wate</w:t>
      </w:r>
      <w:r w:rsidR="005C6706">
        <w:rPr>
          <w:rFonts w:ascii="Times New Roman" w:hAnsi="Times New Roman" w:cs="Times New Roman"/>
          <w:sz w:val="24"/>
          <w:szCs w:val="24"/>
          <w:lang w:val="en-GB"/>
        </w:rPr>
        <w:t xml:space="preserve">r in </w:t>
      </w:r>
      <w:r w:rsidRPr="005C6706">
        <w:rPr>
          <w:rFonts w:ascii="Times New Roman" w:hAnsi="Times New Roman" w:cs="Times New Roman"/>
          <w:sz w:val="24"/>
          <w:szCs w:val="24"/>
          <w:lang w:val="en-GB"/>
        </w:rPr>
        <w:t>oil reverse micellar systems. For the explanation and the treatment of cytochrome-c influence on the properties of considered micellar systems, a pairing sticky hard sphere model was introduced [2]. In this approach, the empty micelles are described by the sticky hard sphere model,</w:t>
      </w:r>
      <w:r w:rsidR="005C6706">
        <w:rPr>
          <w:rFonts w:ascii="Times New Roman" w:hAnsi="Times New Roman" w:cs="Times New Roman"/>
          <w:sz w:val="24"/>
          <w:szCs w:val="24"/>
          <w:lang w:val="en-GB"/>
        </w:rPr>
        <w:t xml:space="preserve"> and the presence of cytochrome-</w:t>
      </w:r>
      <w:r w:rsidRPr="005C6706">
        <w:rPr>
          <w:rFonts w:ascii="Times New Roman" w:hAnsi="Times New Roman" w:cs="Times New Roman"/>
          <w:sz w:val="24"/>
          <w:szCs w:val="24"/>
          <w:lang w:val="en-GB"/>
        </w:rPr>
        <w:t>c is represented by an additional attractive potential characterized by an association parameter that leads to the pair formation of micelles. This association parameter was determined by fitting the experimental structure factors obtained by SAXS measurements. From this parameter the decrease in the percolation threshold has been estimated, and the change in the critical parameters of liquid–liquid phase tr</w:t>
      </w:r>
      <w:r w:rsidR="005C6706">
        <w:rPr>
          <w:rFonts w:ascii="Times New Roman" w:hAnsi="Times New Roman" w:cs="Times New Roman"/>
          <w:sz w:val="24"/>
          <w:szCs w:val="24"/>
          <w:lang w:val="en-GB"/>
        </w:rPr>
        <w:t>ansition, induced by cytochrome-</w:t>
      </w:r>
      <w:r w:rsidRPr="005C6706">
        <w:rPr>
          <w:rFonts w:ascii="Times New Roman" w:hAnsi="Times New Roman" w:cs="Times New Roman"/>
          <w:sz w:val="24"/>
          <w:szCs w:val="24"/>
          <w:lang w:val="en-GB"/>
        </w:rPr>
        <w:t xml:space="preserve">c, was interpreted. </w:t>
      </w:r>
      <w:hyperlink r:id="rId11" w:tgtFrame="_blank" w:history="1">
        <w:r w:rsidRPr="005C6706">
          <w:rPr>
            <w:rStyle w:val="a3"/>
            <w:color w:val="000000" w:themeColor="text1"/>
            <w:sz w:val="24"/>
            <w:szCs w:val="24"/>
            <w:u w:val="none"/>
            <w:lang w:val="en-GB"/>
          </w:rPr>
          <w:t>As</w:t>
        </w:r>
      </w:hyperlink>
      <w:r w:rsidRPr="005C6706">
        <w:rPr>
          <w:rFonts w:ascii="Times New Roman" w:hAnsi="Times New Roman" w:cs="Times New Roman"/>
          <w:color w:val="000000" w:themeColor="text1"/>
          <w:sz w:val="24"/>
          <w:szCs w:val="24"/>
          <w:lang w:val="en-GB"/>
        </w:rPr>
        <w:t xml:space="preserve"> </w:t>
      </w:r>
      <w:r w:rsidRPr="005C6706">
        <w:rPr>
          <w:rFonts w:ascii="Times New Roman" w:hAnsi="Times New Roman" w:cs="Times New Roman"/>
          <w:sz w:val="24"/>
          <w:szCs w:val="24"/>
          <w:lang w:val="en-GB"/>
        </w:rPr>
        <w:t>the second example, we consider the solubilization of mRNA in water in reverse wormlike micellar systems with lipid covering. The structure properties of the considered system are described in the framework of the analytical treatment of the fused hard-sphere chain model [3] with a small modification for direct inclusion of micellar resistance length.</w:t>
      </w:r>
      <w:r w:rsidRPr="005C6706">
        <w:rPr>
          <w:rFonts w:ascii="Times New Roman" w:hAnsi="Times New Roman" w:cs="Times New Roman"/>
          <w:color w:val="000000" w:themeColor="text1"/>
          <w:sz w:val="24"/>
          <w:szCs w:val="24"/>
          <w:lang w:val="en-GB"/>
        </w:rPr>
        <w:t xml:space="preserve"> </w:t>
      </w:r>
      <w:hyperlink r:id="rId12" w:tgtFrame="_blank" w:history="1">
        <w:r w:rsidRPr="005C6706">
          <w:rPr>
            <w:rStyle w:val="a3"/>
            <w:color w:val="000000" w:themeColor="text1"/>
            <w:sz w:val="24"/>
            <w:szCs w:val="24"/>
            <w:u w:val="none"/>
            <w:lang w:val="en-GB"/>
          </w:rPr>
          <w:t>It</w:t>
        </w:r>
      </w:hyperlink>
      <w:r w:rsidRPr="005C6706">
        <w:rPr>
          <w:rFonts w:ascii="Times New Roman" w:hAnsi="Times New Roman" w:cs="Times New Roman"/>
          <w:sz w:val="24"/>
          <w:szCs w:val="24"/>
          <w:lang w:val="en-GB"/>
        </w:rPr>
        <w:t xml:space="preserve"> is shown that the influence of mRNA leads to an increase in the rigidity of micelles.</w:t>
      </w:r>
    </w:p>
    <w:p w:rsidR="002F093E" w:rsidRPr="00414C25" w:rsidRDefault="002F093E" w:rsidP="002F093E">
      <w:pPr>
        <w:pStyle w:val="2"/>
        <w:jc w:val="left"/>
        <w:rPr>
          <w:rFonts w:ascii="Times New Roman" w:hAnsi="Times New Roman" w:cs="Times New Roman"/>
          <w:sz w:val="24"/>
          <w:szCs w:val="24"/>
          <w:lang w:val="en-GB"/>
        </w:rPr>
      </w:pPr>
    </w:p>
    <w:p w:rsidR="002F093E" w:rsidRDefault="002F093E" w:rsidP="002F093E">
      <w:pPr>
        <w:jc w:val="left"/>
        <w:rPr>
          <w:rFonts w:ascii="Times New Roman" w:hAnsi="Times New Roman" w:cs="Times New Roman"/>
          <w:b/>
          <w:bCs/>
          <w:lang w:val="en-GB"/>
        </w:rPr>
      </w:pPr>
      <w:r w:rsidRPr="006A41DD">
        <w:rPr>
          <w:rFonts w:ascii="Times New Roman" w:hAnsi="Times New Roman" w:cs="Times New Roman"/>
          <w:b/>
          <w:bCs/>
          <w:lang w:val="en-GB"/>
        </w:rPr>
        <w:t>References</w:t>
      </w:r>
    </w:p>
    <w:p w:rsidR="002F093E" w:rsidRPr="005C6706" w:rsidRDefault="002F093E" w:rsidP="002F093E">
      <w:pPr>
        <w:ind w:left="426" w:right="-2" w:hanging="426"/>
        <w:jc w:val="left"/>
        <w:rPr>
          <w:rFonts w:ascii="Times New Roman" w:hAnsi="Times New Roman" w:cs="Times New Roman"/>
          <w:lang w:val="en-GB"/>
        </w:rPr>
      </w:pPr>
      <w:r w:rsidRPr="002F093E">
        <w:rPr>
          <w:rFonts w:ascii="Times New Roman" w:hAnsi="Times New Roman" w:cs="Times New Roman"/>
          <w:lang w:val="en-GB"/>
        </w:rPr>
        <w:t>[1]</w:t>
      </w:r>
      <w:r w:rsidRPr="002F093E">
        <w:rPr>
          <w:rFonts w:ascii="Times New Roman" w:hAnsi="Times New Roman" w:cs="Times New Roman"/>
          <w:lang w:val="en-GB"/>
        </w:rPr>
        <w:tab/>
        <w:t xml:space="preserve">I. </w:t>
      </w:r>
      <w:bookmarkStart w:id="0" w:name="_GoBack"/>
      <w:r w:rsidRPr="002F093E">
        <w:rPr>
          <w:rFonts w:ascii="Times New Roman" w:hAnsi="Times New Roman" w:cs="Times New Roman"/>
          <w:lang w:val="en-GB"/>
        </w:rPr>
        <w:t>Yukhnovskii, M</w:t>
      </w:r>
      <w:bookmarkEnd w:id="0"/>
      <w:r w:rsidRPr="002F093E">
        <w:rPr>
          <w:rFonts w:ascii="Times New Roman" w:hAnsi="Times New Roman" w:cs="Times New Roman"/>
          <w:lang w:val="en-GB"/>
        </w:rPr>
        <w:t xml:space="preserve">. Holovko. Statistical Theory of Classical Equilibrium Systems. </w:t>
      </w:r>
      <w:r w:rsidRPr="005C6706">
        <w:rPr>
          <w:rFonts w:ascii="Times New Roman" w:hAnsi="Times New Roman" w:cs="Times New Roman"/>
          <w:lang w:val="en-GB"/>
        </w:rPr>
        <w:t>Kyiv, Akademperiodyka, 2025.</w:t>
      </w:r>
    </w:p>
    <w:p w:rsidR="00C010A7" w:rsidRPr="005C6706" w:rsidRDefault="005C6706" w:rsidP="002F093E">
      <w:pPr>
        <w:ind w:left="426" w:right="-2" w:hanging="426"/>
        <w:jc w:val="left"/>
        <w:rPr>
          <w:rFonts w:ascii="Times New Roman" w:hAnsi="Times New Roman" w:cs="Times New Roman"/>
          <w:lang w:val="en-GB"/>
        </w:rPr>
      </w:pPr>
      <w:r>
        <w:rPr>
          <w:rFonts w:ascii="Times New Roman" w:hAnsi="Times New Roman" w:cs="Times New Roman"/>
          <w:lang w:val="en-GB"/>
        </w:rPr>
        <w:t>[2]</w:t>
      </w:r>
      <w:r>
        <w:rPr>
          <w:rFonts w:ascii="Times New Roman" w:hAnsi="Times New Roman" w:cs="Times New Roman"/>
          <w:lang w:val="en-GB"/>
        </w:rPr>
        <w:tab/>
        <w:t>G. C</w:t>
      </w:r>
      <w:r w:rsidR="002F093E" w:rsidRPr="005C6706">
        <w:rPr>
          <w:rFonts w:ascii="Times New Roman" w:hAnsi="Times New Roman" w:cs="Times New Roman"/>
          <w:lang w:val="en-GB"/>
        </w:rPr>
        <w:t>assin, Yu. Duda, M. Holovko, J. P. Badiali, M. P. Pileni. J. Chem. Phys., 107 (1997), 2683.</w:t>
      </w:r>
    </w:p>
    <w:p w:rsidR="00385FD8" w:rsidRPr="002F093E" w:rsidRDefault="00385FD8" w:rsidP="002F093E">
      <w:pPr>
        <w:ind w:left="426" w:right="-2" w:hanging="426"/>
        <w:jc w:val="left"/>
        <w:rPr>
          <w:lang w:val="en-GB"/>
        </w:rPr>
      </w:pPr>
      <w:r w:rsidRPr="005C6706">
        <w:rPr>
          <w:rFonts w:ascii="Times New Roman" w:hAnsi="Times New Roman" w:cs="Times New Roman"/>
          <w:lang w:val="en-GB"/>
        </w:rPr>
        <w:t>[3]</w:t>
      </w:r>
      <w:r w:rsidRPr="005C6706">
        <w:rPr>
          <w:rFonts w:ascii="Times New Roman" w:hAnsi="Times New Roman" w:cs="Times New Roman"/>
          <w:lang w:val="en-GB"/>
        </w:rPr>
        <w:tab/>
        <w:t xml:space="preserve">Yu. Duda, E. Vakarin, Yu. Kalyuzhnyi, M. Holovko. </w:t>
      </w:r>
      <w:r>
        <w:rPr>
          <w:rFonts w:ascii="Times New Roman" w:hAnsi="Times New Roman" w:cs="Times New Roman"/>
          <w:lang w:val="en-GB"/>
        </w:rPr>
        <w:t>Physica, A 245 (1997), 393.</w:t>
      </w:r>
    </w:p>
    <w:sectPr w:rsidR="00385FD8" w:rsidRPr="002F093E" w:rsidSect="00795E6D">
      <w:headerReference w:type="first" r:id="rId13"/>
      <w:pgSz w:w="11907" w:h="16840" w:code="9"/>
      <w:pgMar w:top="1134" w:right="1134" w:bottom="1134" w:left="1134" w:header="454" w:footer="454" w:gutter="113"/>
      <w:cols w:space="283"/>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24134" w:rsidRDefault="00424134">
      <w:r>
        <w:separator/>
      </w:r>
    </w:p>
  </w:endnote>
  <w:endnote w:type="continuationSeparator" w:id="0">
    <w:p w:rsidR="00424134" w:rsidRDefault="00424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24134" w:rsidRDefault="00424134">
      <w:r>
        <w:separator/>
      </w:r>
    </w:p>
  </w:footnote>
  <w:footnote w:type="continuationSeparator" w:id="0">
    <w:p w:rsidR="00424134" w:rsidRDefault="0042413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305C" w:rsidRPr="005C305C" w:rsidRDefault="00385FD8" w:rsidP="005C305C">
    <w:pPr>
      <w:pStyle w:val="a4"/>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European Molecular Liquids Group and Japanese Molecular Liquids Group Annual Meeting (EMLG/JMLG 2026</w:t>
    </w:r>
    <w:r w:rsidRPr="005C305C">
      <w:rPr>
        <w:rFonts w:asciiTheme="minorHAnsi" w:hAnsiTheme="minorHAnsi" w:cs="Times New Roman"/>
        <w:b/>
        <w:color w:val="7F7F7F" w:themeColor="text1" w:themeTint="80"/>
        <w:sz w:val="20"/>
        <w:szCs w:val="22"/>
      </w:rPr>
      <w:t>)</w:t>
    </w:r>
  </w:p>
  <w:p w:rsidR="00121503" w:rsidRPr="005C305C" w:rsidRDefault="00385FD8" w:rsidP="005C305C">
    <w:pPr>
      <w:pStyle w:val="a4"/>
      <w:tabs>
        <w:tab w:val="clear" w:pos="4320"/>
      </w:tabs>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 xml:space="preserve">Glasgow </w:t>
    </w:r>
    <w:r w:rsidRPr="005C305C">
      <w:rPr>
        <w:rFonts w:asciiTheme="minorHAnsi" w:hAnsiTheme="minorHAnsi" w:cs="Times New Roman"/>
        <w:b/>
        <w:color w:val="7F7F7F" w:themeColor="text1" w:themeTint="80"/>
        <w:sz w:val="20"/>
        <w:szCs w:val="22"/>
      </w:rPr>
      <w:t>(</w:t>
    </w:r>
    <w:r>
      <w:rPr>
        <w:rFonts w:asciiTheme="minorHAnsi" w:hAnsiTheme="minorHAnsi" w:cs="Times New Roman"/>
        <w:b/>
        <w:color w:val="7F7F7F" w:themeColor="text1" w:themeTint="80"/>
        <w:sz w:val="20"/>
        <w:szCs w:val="22"/>
      </w:rPr>
      <w:t>UK</w:t>
    </w:r>
    <w:r w:rsidRPr="005C305C">
      <w:rPr>
        <w:rFonts w:asciiTheme="minorHAnsi" w:hAnsiTheme="minorHAnsi" w:cs="Times New Roman"/>
        <w:b/>
        <w:color w:val="7F7F7F" w:themeColor="text1" w:themeTint="80"/>
        <w:sz w:val="20"/>
        <w:szCs w:val="22"/>
      </w:rPr>
      <w:t xml:space="preserve">), </w:t>
    </w:r>
    <w:r>
      <w:rPr>
        <w:rFonts w:asciiTheme="minorHAnsi" w:hAnsiTheme="minorHAnsi" w:cs="Times New Roman"/>
        <w:b/>
        <w:color w:val="7F7F7F" w:themeColor="text1" w:themeTint="80"/>
        <w:sz w:val="20"/>
        <w:szCs w:val="22"/>
      </w:rPr>
      <w:t>31</w:t>
    </w:r>
    <w:r w:rsidRPr="005C305C">
      <w:rPr>
        <w:rFonts w:asciiTheme="minorHAnsi" w:hAnsiTheme="minorHAnsi" w:cs="Times New Roman"/>
        <w:b/>
        <w:color w:val="7F7F7F" w:themeColor="text1" w:themeTint="80"/>
        <w:sz w:val="20"/>
        <w:szCs w:val="22"/>
        <w:vertAlign w:val="superscript"/>
      </w:rPr>
      <w:t>th</w:t>
    </w:r>
    <w:r w:rsidRPr="005C305C">
      <w:rPr>
        <w:rFonts w:asciiTheme="minorHAnsi" w:hAnsiTheme="minorHAnsi" w:cs="Times New Roman"/>
        <w:b/>
        <w:color w:val="7F7F7F" w:themeColor="text1" w:themeTint="80"/>
        <w:sz w:val="20"/>
        <w:szCs w:val="22"/>
      </w:rPr>
      <w:t xml:space="preserve"> </w:t>
    </w:r>
    <w:r>
      <w:rPr>
        <w:rFonts w:asciiTheme="minorHAnsi" w:hAnsiTheme="minorHAnsi" w:cs="Times New Roman"/>
        <w:b/>
        <w:color w:val="7F7F7F" w:themeColor="text1" w:themeTint="80"/>
        <w:sz w:val="20"/>
        <w:szCs w:val="22"/>
      </w:rPr>
      <w:t>August – 4</w:t>
    </w:r>
    <w:r w:rsidRPr="005C305C">
      <w:rPr>
        <w:rFonts w:asciiTheme="minorHAnsi" w:hAnsiTheme="minorHAnsi" w:cs="Times New Roman"/>
        <w:b/>
        <w:color w:val="7F7F7F" w:themeColor="text1" w:themeTint="80"/>
        <w:sz w:val="20"/>
        <w:szCs w:val="22"/>
        <w:vertAlign w:val="superscript"/>
      </w:rPr>
      <w:t>th</w:t>
    </w:r>
    <w:r w:rsidRPr="005C305C">
      <w:rPr>
        <w:rFonts w:asciiTheme="minorHAnsi" w:hAnsiTheme="minorHAnsi" w:cs="Times New Roman"/>
        <w:b/>
        <w:color w:val="7F7F7F" w:themeColor="text1" w:themeTint="80"/>
        <w:sz w:val="20"/>
        <w:szCs w:val="22"/>
      </w:rPr>
      <w:t xml:space="preserve"> </w:t>
    </w:r>
    <w:r>
      <w:rPr>
        <w:rFonts w:asciiTheme="minorHAnsi" w:hAnsiTheme="minorHAnsi" w:cs="Times New Roman"/>
        <w:b/>
        <w:color w:val="7F7F7F" w:themeColor="text1" w:themeTint="80"/>
        <w:sz w:val="20"/>
        <w:szCs w:val="22"/>
      </w:rPr>
      <w:t>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50F4434"/>
    <w:multiLevelType w:val="hybridMultilevel"/>
    <w:tmpl w:val="91025D78"/>
    <w:lvl w:ilvl="0" w:tplc="04090001">
      <w:start w:val="1"/>
      <w:numFmt w:val="bullet"/>
      <w:lvlText w:val=""/>
      <w:lvlJc w:val="left"/>
      <w:pPr>
        <w:tabs>
          <w:tab w:val="num" w:pos="1004"/>
        </w:tabs>
        <w:ind w:left="1004" w:hanging="360"/>
      </w:pPr>
      <w:rPr>
        <w:rFonts w:ascii="Symbol" w:hAnsi="Symbol" w:hint="default"/>
      </w:rPr>
    </w:lvl>
    <w:lvl w:ilvl="1" w:tplc="04090003">
      <w:start w:val="1"/>
      <w:numFmt w:val="bullet"/>
      <w:lvlText w:val="o"/>
      <w:lvlJc w:val="left"/>
      <w:pPr>
        <w:tabs>
          <w:tab w:val="num" w:pos="1724"/>
        </w:tabs>
        <w:ind w:left="1724" w:hanging="360"/>
      </w:pPr>
      <w:rPr>
        <w:rFonts w:ascii="Courier New" w:hAnsi="Courier New" w:hint="default"/>
      </w:rPr>
    </w:lvl>
    <w:lvl w:ilvl="2" w:tplc="04090005">
      <w:start w:val="1"/>
      <w:numFmt w:val="bullet"/>
      <w:lvlText w:val=""/>
      <w:lvlJc w:val="left"/>
      <w:pPr>
        <w:tabs>
          <w:tab w:val="num" w:pos="2444"/>
        </w:tabs>
        <w:ind w:left="2444" w:hanging="360"/>
      </w:pPr>
      <w:rPr>
        <w:rFonts w:ascii="Wingdings" w:hAnsi="Wingdings" w:hint="default"/>
      </w:rPr>
    </w:lvl>
    <w:lvl w:ilvl="3" w:tplc="04090001">
      <w:start w:val="1"/>
      <w:numFmt w:val="bullet"/>
      <w:lvlText w:val=""/>
      <w:lvlJc w:val="left"/>
      <w:pPr>
        <w:tabs>
          <w:tab w:val="num" w:pos="3164"/>
        </w:tabs>
        <w:ind w:left="3164" w:hanging="360"/>
      </w:pPr>
      <w:rPr>
        <w:rFonts w:ascii="Symbol" w:hAnsi="Symbol" w:hint="default"/>
      </w:rPr>
    </w:lvl>
    <w:lvl w:ilvl="4" w:tplc="04090003">
      <w:start w:val="1"/>
      <w:numFmt w:val="bullet"/>
      <w:lvlText w:val="o"/>
      <w:lvlJc w:val="left"/>
      <w:pPr>
        <w:tabs>
          <w:tab w:val="num" w:pos="3884"/>
        </w:tabs>
        <w:ind w:left="3884" w:hanging="360"/>
      </w:pPr>
      <w:rPr>
        <w:rFonts w:ascii="Courier New" w:hAnsi="Courier New" w:hint="default"/>
      </w:rPr>
    </w:lvl>
    <w:lvl w:ilvl="5" w:tplc="04090005">
      <w:start w:val="1"/>
      <w:numFmt w:val="bullet"/>
      <w:lvlText w:val=""/>
      <w:lvlJc w:val="left"/>
      <w:pPr>
        <w:tabs>
          <w:tab w:val="num" w:pos="4604"/>
        </w:tabs>
        <w:ind w:left="4604" w:hanging="360"/>
      </w:pPr>
      <w:rPr>
        <w:rFonts w:ascii="Wingdings" w:hAnsi="Wingdings" w:hint="default"/>
      </w:rPr>
    </w:lvl>
    <w:lvl w:ilvl="6" w:tplc="04090001">
      <w:start w:val="1"/>
      <w:numFmt w:val="bullet"/>
      <w:lvlText w:val=""/>
      <w:lvlJc w:val="left"/>
      <w:pPr>
        <w:tabs>
          <w:tab w:val="num" w:pos="5324"/>
        </w:tabs>
        <w:ind w:left="5324" w:hanging="360"/>
      </w:pPr>
      <w:rPr>
        <w:rFonts w:ascii="Symbol" w:hAnsi="Symbol" w:hint="default"/>
      </w:rPr>
    </w:lvl>
    <w:lvl w:ilvl="7" w:tplc="04090003">
      <w:start w:val="1"/>
      <w:numFmt w:val="bullet"/>
      <w:lvlText w:val="o"/>
      <w:lvlJc w:val="left"/>
      <w:pPr>
        <w:tabs>
          <w:tab w:val="num" w:pos="6044"/>
        </w:tabs>
        <w:ind w:left="6044" w:hanging="360"/>
      </w:pPr>
      <w:rPr>
        <w:rFonts w:ascii="Courier New" w:hAnsi="Courier New" w:hint="default"/>
      </w:rPr>
    </w:lvl>
    <w:lvl w:ilvl="8" w:tplc="04090005">
      <w:start w:val="1"/>
      <w:numFmt w:val="bullet"/>
      <w:lvlText w:val=""/>
      <w:lvlJc w:val="left"/>
      <w:pPr>
        <w:tabs>
          <w:tab w:val="num" w:pos="6764"/>
        </w:tabs>
        <w:ind w:left="6764"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6F0B"/>
    <w:rsid w:val="00024FF4"/>
    <w:rsid w:val="001359A9"/>
    <w:rsid w:val="002142D8"/>
    <w:rsid w:val="002F093E"/>
    <w:rsid w:val="00385FD8"/>
    <w:rsid w:val="00424134"/>
    <w:rsid w:val="005C6706"/>
    <w:rsid w:val="00795E6D"/>
    <w:rsid w:val="00B75AD5"/>
    <w:rsid w:val="00C010A7"/>
    <w:rsid w:val="00D56A91"/>
    <w:rsid w:val="00DD5E45"/>
    <w:rsid w:val="00E22B17"/>
    <w:rsid w:val="00E86F0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95E6D"/>
    <w:pPr>
      <w:autoSpaceDE w:val="0"/>
      <w:autoSpaceDN w:val="0"/>
      <w:spacing w:after="0" w:line="240" w:lineRule="auto"/>
      <w:jc w:val="both"/>
    </w:pPr>
    <w:rPr>
      <w:rFonts w:ascii="Palatino" w:eastAsia="MS Mincho" w:hAnsi="Palatino" w:cs="Palatino"/>
      <w:color w:val="000000"/>
      <w:sz w:val="24"/>
      <w:szCs w:val="24"/>
      <w:lang w:val="en-US"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sid w:val="00795E6D"/>
    <w:rPr>
      <w:rFonts w:ascii="Times New Roman" w:hAnsi="Times New Roman" w:cs="Times New Roman"/>
      <w:color w:val="0000FF"/>
      <w:u w:val="single"/>
    </w:rPr>
  </w:style>
  <w:style w:type="paragraph" w:styleId="2">
    <w:name w:val="Body Text 2"/>
    <w:basedOn w:val="a"/>
    <w:link w:val="20"/>
    <w:uiPriority w:val="99"/>
    <w:rsid w:val="00795E6D"/>
    <w:pPr>
      <w:ind w:firstLine="284"/>
    </w:pPr>
    <w:rPr>
      <w:sz w:val="22"/>
      <w:szCs w:val="22"/>
    </w:rPr>
  </w:style>
  <w:style w:type="character" w:customStyle="1" w:styleId="20">
    <w:name w:val="Основний текст 2 Знак"/>
    <w:basedOn w:val="a0"/>
    <w:link w:val="2"/>
    <w:uiPriority w:val="99"/>
    <w:rsid w:val="00795E6D"/>
    <w:rPr>
      <w:rFonts w:ascii="Palatino" w:eastAsia="MS Mincho" w:hAnsi="Palatino" w:cs="Palatino"/>
      <w:color w:val="000000"/>
      <w:lang w:val="en-US" w:eastAsia="ja-JP"/>
    </w:rPr>
  </w:style>
  <w:style w:type="paragraph" w:styleId="a4">
    <w:name w:val="header"/>
    <w:basedOn w:val="a"/>
    <w:link w:val="a5"/>
    <w:uiPriority w:val="99"/>
    <w:rsid w:val="00795E6D"/>
    <w:pPr>
      <w:tabs>
        <w:tab w:val="center" w:pos="4320"/>
        <w:tab w:val="right" w:pos="8640"/>
      </w:tabs>
    </w:pPr>
  </w:style>
  <w:style w:type="character" w:customStyle="1" w:styleId="a5">
    <w:name w:val="Верхній колонтитул Знак"/>
    <w:basedOn w:val="a0"/>
    <w:link w:val="a4"/>
    <w:uiPriority w:val="99"/>
    <w:rsid w:val="00795E6D"/>
    <w:rPr>
      <w:rFonts w:ascii="Palatino" w:eastAsia="MS Mincho" w:hAnsi="Palatino" w:cs="Palatino"/>
      <w:color w:val="000000"/>
      <w:sz w:val="24"/>
      <w:szCs w:val="24"/>
      <w:lang w:val="en-US" w:eastAsia="ja-JP"/>
    </w:rPr>
  </w:style>
  <w:style w:type="paragraph" w:styleId="a6">
    <w:name w:val="Normal (Web)"/>
    <w:basedOn w:val="a"/>
    <w:uiPriority w:val="99"/>
    <w:unhideWhenUsed/>
    <w:rsid w:val="00795E6D"/>
    <w:pPr>
      <w:autoSpaceDE/>
      <w:autoSpaceDN/>
      <w:spacing w:before="100" w:beforeAutospacing="1" w:after="100" w:afterAutospacing="1"/>
      <w:jc w:val="left"/>
    </w:pPr>
    <w:rPr>
      <w:rFonts w:ascii="Times New Roman" w:eastAsia="Times New Roman" w:hAnsi="Times New Roman" w:cs="Times New Roman"/>
      <w:color w:val="auto"/>
      <w:lang w:val="uk-UA" w:eastAsia="uk-UA"/>
    </w:rPr>
  </w:style>
  <w:style w:type="paragraph" w:styleId="21">
    <w:name w:val="Body Text Indent 2"/>
    <w:basedOn w:val="a"/>
    <w:link w:val="22"/>
    <w:uiPriority w:val="99"/>
    <w:semiHidden/>
    <w:unhideWhenUsed/>
    <w:rsid w:val="00B75AD5"/>
    <w:pPr>
      <w:spacing w:after="120" w:line="480" w:lineRule="auto"/>
      <w:ind w:left="283"/>
    </w:pPr>
  </w:style>
  <w:style w:type="character" w:customStyle="1" w:styleId="22">
    <w:name w:val="Основний текст з відступом 2 Знак"/>
    <w:basedOn w:val="a0"/>
    <w:link w:val="21"/>
    <w:uiPriority w:val="99"/>
    <w:semiHidden/>
    <w:rsid w:val="00B75AD5"/>
    <w:rPr>
      <w:rFonts w:ascii="Palatino" w:eastAsia="MS Mincho" w:hAnsi="Palatino" w:cs="Palatino"/>
      <w:color w:val="000000"/>
      <w:sz w:val="24"/>
      <w:szCs w:val="24"/>
      <w:lang w:val="en-US"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95E6D"/>
    <w:pPr>
      <w:autoSpaceDE w:val="0"/>
      <w:autoSpaceDN w:val="0"/>
      <w:spacing w:after="0" w:line="240" w:lineRule="auto"/>
      <w:jc w:val="both"/>
    </w:pPr>
    <w:rPr>
      <w:rFonts w:ascii="Palatino" w:eastAsia="MS Mincho" w:hAnsi="Palatino" w:cs="Palatino"/>
      <w:color w:val="000000"/>
      <w:sz w:val="24"/>
      <w:szCs w:val="24"/>
      <w:lang w:val="en-US"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sid w:val="00795E6D"/>
    <w:rPr>
      <w:rFonts w:ascii="Times New Roman" w:hAnsi="Times New Roman" w:cs="Times New Roman"/>
      <w:color w:val="0000FF"/>
      <w:u w:val="single"/>
    </w:rPr>
  </w:style>
  <w:style w:type="paragraph" w:styleId="2">
    <w:name w:val="Body Text 2"/>
    <w:basedOn w:val="a"/>
    <w:link w:val="20"/>
    <w:uiPriority w:val="99"/>
    <w:rsid w:val="00795E6D"/>
    <w:pPr>
      <w:ind w:firstLine="284"/>
    </w:pPr>
    <w:rPr>
      <w:sz w:val="22"/>
      <w:szCs w:val="22"/>
    </w:rPr>
  </w:style>
  <w:style w:type="character" w:customStyle="1" w:styleId="20">
    <w:name w:val="Основний текст 2 Знак"/>
    <w:basedOn w:val="a0"/>
    <w:link w:val="2"/>
    <w:uiPriority w:val="99"/>
    <w:rsid w:val="00795E6D"/>
    <w:rPr>
      <w:rFonts w:ascii="Palatino" w:eastAsia="MS Mincho" w:hAnsi="Palatino" w:cs="Palatino"/>
      <w:color w:val="000000"/>
      <w:lang w:val="en-US" w:eastAsia="ja-JP"/>
    </w:rPr>
  </w:style>
  <w:style w:type="paragraph" w:styleId="a4">
    <w:name w:val="header"/>
    <w:basedOn w:val="a"/>
    <w:link w:val="a5"/>
    <w:uiPriority w:val="99"/>
    <w:rsid w:val="00795E6D"/>
    <w:pPr>
      <w:tabs>
        <w:tab w:val="center" w:pos="4320"/>
        <w:tab w:val="right" w:pos="8640"/>
      </w:tabs>
    </w:pPr>
  </w:style>
  <w:style w:type="character" w:customStyle="1" w:styleId="a5">
    <w:name w:val="Верхній колонтитул Знак"/>
    <w:basedOn w:val="a0"/>
    <w:link w:val="a4"/>
    <w:uiPriority w:val="99"/>
    <w:rsid w:val="00795E6D"/>
    <w:rPr>
      <w:rFonts w:ascii="Palatino" w:eastAsia="MS Mincho" w:hAnsi="Palatino" w:cs="Palatino"/>
      <w:color w:val="000000"/>
      <w:sz w:val="24"/>
      <w:szCs w:val="24"/>
      <w:lang w:val="en-US" w:eastAsia="ja-JP"/>
    </w:rPr>
  </w:style>
  <w:style w:type="paragraph" w:styleId="a6">
    <w:name w:val="Normal (Web)"/>
    <w:basedOn w:val="a"/>
    <w:uiPriority w:val="99"/>
    <w:unhideWhenUsed/>
    <w:rsid w:val="00795E6D"/>
    <w:pPr>
      <w:autoSpaceDE/>
      <w:autoSpaceDN/>
      <w:spacing w:before="100" w:beforeAutospacing="1" w:after="100" w:afterAutospacing="1"/>
      <w:jc w:val="left"/>
    </w:pPr>
    <w:rPr>
      <w:rFonts w:ascii="Times New Roman" w:eastAsia="Times New Roman" w:hAnsi="Times New Roman" w:cs="Times New Roman"/>
      <w:color w:val="auto"/>
      <w:lang w:val="uk-UA" w:eastAsia="uk-UA"/>
    </w:rPr>
  </w:style>
  <w:style w:type="paragraph" w:styleId="21">
    <w:name w:val="Body Text Indent 2"/>
    <w:basedOn w:val="a"/>
    <w:link w:val="22"/>
    <w:uiPriority w:val="99"/>
    <w:semiHidden/>
    <w:unhideWhenUsed/>
    <w:rsid w:val="00B75AD5"/>
    <w:pPr>
      <w:spacing w:after="120" w:line="480" w:lineRule="auto"/>
      <w:ind w:left="283"/>
    </w:pPr>
  </w:style>
  <w:style w:type="character" w:customStyle="1" w:styleId="22">
    <w:name w:val="Основний текст з відступом 2 Знак"/>
    <w:basedOn w:val="a0"/>
    <w:link w:val="21"/>
    <w:uiPriority w:val="99"/>
    <w:semiHidden/>
    <w:rsid w:val="00B75AD5"/>
    <w:rPr>
      <w:rFonts w:ascii="Palatino" w:eastAsia="MS Mincho" w:hAnsi="Palatino" w:cs="Palatino"/>
      <w:color w:val="000000"/>
      <w:sz w:val="24"/>
      <w:szCs w:val="24"/>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705644">
      <w:bodyDiv w:val="1"/>
      <w:marLeft w:val="0"/>
      <w:marRight w:val="0"/>
      <w:marTop w:val="0"/>
      <w:marBottom w:val="0"/>
      <w:divBdr>
        <w:top w:val="none" w:sz="0" w:space="0" w:color="auto"/>
        <w:left w:val="none" w:sz="0" w:space="0" w:color="auto"/>
        <w:bottom w:val="none" w:sz="0" w:space="0" w:color="auto"/>
        <w:right w:val="none" w:sz="0" w:space="0" w:color="auto"/>
      </w:divBdr>
    </w:div>
    <w:div w:id="450050394">
      <w:bodyDiv w:val="1"/>
      <w:marLeft w:val="0"/>
      <w:marRight w:val="0"/>
      <w:marTop w:val="0"/>
      <w:marBottom w:val="0"/>
      <w:divBdr>
        <w:top w:val="none" w:sz="0" w:space="0" w:color="auto"/>
        <w:left w:val="none" w:sz="0" w:space="0" w:color="auto"/>
        <w:bottom w:val="none" w:sz="0" w:space="0" w:color="auto"/>
        <w:right w:val="none" w:sz="0" w:space="0" w:color="auto"/>
      </w:divBdr>
    </w:div>
    <w:div w:id="741679859">
      <w:bodyDiv w:val="1"/>
      <w:marLeft w:val="0"/>
      <w:marRight w:val="0"/>
      <w:marTop w:val="0"/>
      <w:marBottom w:val="0"/>
      <w:divBdr>
        <w:top w:val="none" w:sz="0" w:space="0" w:color="auto"/>
        <w:left w:val="none" w:sz="0" w:space="0" w:color="auto"/>
        <w:bottom w:val="none" w:sz="0" w:space="0" w:color="auto"/>
        <w:right w:val="none" w:sz="0" w:space="0" w:color="auto"/>
      </w:divBdr>
    </w:div>
    <w:div w:id="802310773">
      <w:bodyDiv w:val="1"/>
      <w:marLeft w:val="0"/>
      <w:marRight w:val="0"/>
      <w:marTop w:val="0"/>
      <w:marBottom w:val="0"/>
      <w:divBdr>
        <w:top w:val="none" w:sz="0" w:space="0" w:color="auto"/>
        <w:left w:val="none" w:sz="0" w:space="0" w:color="auto"/>
        <w:bottom w:val="none" w:sz="0" w:space="0" w:color="auto"/>
        <w:right w:val="none" w:sz="0" w:space="0" w:color="auto"/>
      </w:divBdr>
    </w:div>
    <w:div w:id="909344389">
      <w:bodyDiv w:val="1"/>
      <w:marLeft w:val="0"/>
      <w:marRight w:val="0"/>
      <w:marTop w:val="0"/>
      <w:marBottom w:val="0"/>
      <w:divBdr>
        <w:top w:val="none" w:sz="0" w:space="0" w:color="auto"/>
        <w:left w:val="none" w:sz="0" w:space="0" w:color="auto"/>
        <w:bottom w:val="none" w:sz="0" w:space="0" w:color="auto"/>
        <w:right w:val="none" w:sz="0" w:space="0" w:color="auto"/>
      </w:divBdr>
    </w:div>
    <w:div w:id="1396782920">
      <w:bodyDiv w:val="1"/>
      <w:marLeft w:val="0"/>
      <w:marRight w:val="0"/>
      <w:marTop w:val="0"/>
      <w:marBottom w:val="0"/>
      <w:divBdr>
        <w:top w:val="none" w:sz="0" w:space="0" w:color="auto"/>
        <w:left w:val="none" w:sz="0" w:space="0" w:color="auto"/>
        <w:bottom w:val="none" w:sz="0" w:space="0" w:color="auto"/>
        <w:right w:val="none" w:sz="0" w:space="0" w:color="auto"/>
      </w:divBdr>
    </w:div>
    <w:div w:id="1415124735">
      <w:bodyDiv w:val="1"/>
      <w:marLeft w:val="0"/>
      <w:marRight w:val="0"/>
      <w:marTop w:val="0"/>
      <w:marBottom w:val="0"/>
      <w:divBdr>
        <w:top w:val="none" w:sz="0" w:space="0" w:color="auto"/>
        <w:left w:val="none" w:sz="0" w:space="0" w:color="auto"/>
        <w:bottom w:val="none" w:sz="0" w:space="0" w:color="auto"/>
        <w:right w:val="none" w:sz="0" w:space="0" w:color="auto"/>
      </w:divBdr>
    </w:div>
    <w:div w:id="1616406066">
      <w:bodyDiv w:val="1"/>
      <w:marLeft w:val="0"/>
      <w:marRight w:val="0"/>
      <w:marTop w:val="0"/>
      <w:marBottom w:val="0"/>
      <w:divBdr>
        <w:top w:val="none" w:sz="0" w:space="0" w:color="auto"/>
        <w:left w:val="none" w:sz="0" w:space="0" w:color="auto"/>
        <w:bottom w:val="none" w:sz="0" w:space="0" w:color="auto"/>
        <w:right w:val="none" w:sz="0" w:space="0" w:color="auto"/>
      </w:divBdr>
    </w:div>
    <w:div w:id="1694719717">
      <w:bodyDiv w:val="1"/>
      <w:marLeft w:val="0"/>
      <w:marRight w:val="0"/>
      <w:marTop w:val="0"/>
      <w:marBottom w:val="0"/>
      <w:divBdr>
        <w:top w:val="none" w:sz="0" w:space="0" w:color="auto"/>
        <w:left w:val="none" w:sz="0" w:space="0" w:color="auto"/>
        <w:bottom w:val="none" w:sz="0" w:space="0" w:color="auto"/>
        <w:right w:val="none" w:sz="0" w:space="0" w:color="auto"/>
      </w:divBdr>
    </w:div>
    <w:div w:id="2018076238">
      <w:bodyDiv w:val="1"/>
      <w:marLeft w:val="0"/>
      <w:marRight w:val="0"/>
      <w:marTop w:val="0"/>
      <w:marBottom w:val="0"/>
      <w:divBdr>
        <w:top w:val="none" w:sz="0" w:space="0" w:color="auto"/>
        <w:left w:val="none" w:sz="0" w:space="0" w:color="auto"/>
        <w:bottom w:val="none" w:sz="0" w:space="0" w:color="auto"/>
        <w:right w:val="none" w:sz="0" w:space="0" w:color="auto"/>
      </w:divBdr>
    </w:div>
    <w:div w:id="2099713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olovko@icmp.lviv.ua" TargetMode="External"/><Relationship Id="rId13"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length.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interpreted.A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ystems.As" TargetMode="External"/><Relationship Id="rId4" Type="http://schemas.openxmlformats.org/officeDocument/2006/relationships/settings" Target="settings.xml"/><Relationship Id="rId9" Type="http://schemas.openxmlformats.org/officeDocument/2006/relationships/hyperlink" Target="http://parts.One"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Pages>
  <Words>2296</Words>
  <Characters>1309</Characters>
  <Application>Microsoft Office Word</Application>
  <DocSecurity>0</DocSecurity>
  <Lines>10</Lines>
  <Paragraphs>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3598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5</cp:revision>
  <dcterms:created xsi:type="dcterms:W3CDTF">2026-05-11T08:06:00Z</dcterms:created>
  <dcterms:modified xsi:type="dcterms:W3CDTF">2026-05-15T10:14:00Z</dcterms:modified>
</cp:coreProperties>
</file>