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42E51" w14:textId="7A6E5C8C" w:rsidR="00455BDA" w:rsidRPr="00414C25" w:rsidRDefault="006C06E4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Tuning the water models to elucidate the effect of ATP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br/>
        <w:t>to disordered proteins in high ATP concentration</w:t>
      </w:r>
    </w:p>
    <w:p w14:paraId="76B1E277" w14:textId="77777777" w:rsidR="00455BDA" w:rsidRPr="006C06E4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2149F7FA" w14:textId="7E40E3C8" w:rsidR="00455BDA" w:rsidRPr="00414C25" w:rsidRDefault="00E87D17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87D17">
        <w:rPr>
          <w:rFonts w:ascii="Times New Roman" w:hAnsi="Times New Roman" w:cs="Times New Roman"/>
          <w:b/>
          <w:bCs/>
          <w:u w:val="single"/>
          <w:lang w:val="en-GB"/>
        </w:rPr>
        <w:t>Toshifumi Mori</w:t>
      </w:r>
      <w:r w:rsidR="00455BDA" w:rsidRPr="00E87D17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Norio Yoshida</w:t>
      </w:r>
      <w:r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</w:p>
    <w:p w14:paraId="78D5856E" w14:textId="6224268F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E87D17">
        <w:rPr>
          <w:rFonts w:ascii="Times New Roman" w:hAnsi="Times New Roman" w:cs="Times New Roman"/>
          <w:sz w:val="22"/>
          <w:szCs w:val="22"/>
          <w:lang w:val="en-GB"/>
        </w:rPr>
        <w:t>Graduate School of Engineering, Kyoto Un</w:t>
      </w:r>
      <w:r w:rsidR="00397F66">
        <w:rPr>
          <w:rFonts w:ascii="Times New Roman" w:hAnsi="Times New Roman" w:cs="Times New Roman"/>
          <w:sz w:val="22"/>
          <w:szCs w:val="22"/>
          <w:lang w:val="en-GB"/>
        </w:rPr>
        <w:t>i</w:t>
      </w:r>
      <w:r w:rsidR="00E87D17">
        <w:rPr>
          <w:rFonts w:ascii="Times New Roman" w:hAnsi="Times New Roman" w:cs="Times New Roman"/>
          <w:sz w:val="22"/>
          <w:szCs w:val="22"/>
          <w:lang w:val="en-GB"/>
        </w:rPr>
        <w:t>versity</w:t>
      </w:r>
    </w:p>
    <w:p w14:paraId="326CC1C6" w14:textId="5322E11C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E87D17" w:rsidRPr="00E87D17">
        <w:rPr>
          <w:rFonts w:ascii="Times New Roman" w:hAnsi="Times New Roman" w:cs="Times New Roman"/>
          <w:sz w:val="22"/>
          <w:szCs w:val="22"/>
        </w:rPr>
        <w:t>Graduate School of Informatics</w:t>
      </w:r>
      <w:r w:rsidR="00E87D17">
        <w:rPr>
          <w:rFonts w:ascii="Times New Roman" w:hAnsi="Times New Roman" w:cs="Times New Roman"/>
          <w:sz w:val="22"/>
          <w:szCs w:val="22"/>
        </w:rPr>
        <w:t xml:space="preserve">, </w:t>
      </w:r>
      <w:r w:rsidR="00E87D17">
        <w:rPr>
          <w:rFonts w:ascii="Times New Roman" w:hAnsi="Times New Roman" w:cs="Times New Roman"/>
          <w:sz w:val="22"/>
          <w:szCs w:val="22"/>
          <w:lang w:val="en-GB"/>
        </w:rPr>
        <w:t>Nagoya University</w:t>
      </w:r>
    </w:p>
    <w:p w14:paraId="1152A9AA" w14:textId="7359B43E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E87D17">
        <w:rPr>
          <w:rFonts w:ascii="Times New Roman" w:hAnsi="Times New Roman" w:cs="Times New Roman"/>
          <w:sz w:val="22"/>
          <w:szCs w:val="22"/>
          <w:lang w:val="en-GB"/>
        </w:rPr>
        <w:t>toshi_mori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E87D17">
        <w:rPr>
          <w:rFonts w:ascii="Times New Roman" w:hAnsi="Times New Roman" w:cs="Times New Roman"/>
          <w:sz w:val="22"/>
          <w:szCs w:val="22"/>
          <w:lang w:val="en-GB"/>
        </w:rPr>
        <w:t>moleng.kyoto-u.ac.jp</w:t>
      </w:r>
    </w:p>
    <w:p w14:paraId="2B43A558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30681867" w14:textId="688B4EF0" w:rsidR="006C06E4" w:rsidRPr="006C06E4" w:rsidRDefault="006C06E4" w:rsidP="006C06E4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eastAsia="en-GB"/>
        </w:rPr>
      </w:pP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ATP plays a fundamental role as an energy currency in biomolecular systems. The concentration of ATP in cells is 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yet 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much higher than what is needed for proteins to function. It has recently been realized that ATP in high concentration can dissolve protein aggregates and regulate liquid-liquid phase separations, </w:t>
      </w:r>
      <w:r>
        <w:rPr>
          <w:rFonts w:ascii="Times New Roman" w:eastAsia="Times New Roman" w:hAnsi="Times New Roman" w:cs="Times New Roman"/>
          <w:color w:val="auto"/>
          <w:lang w:eastAsia="en-GB"/>
        </w:rPr>
        <w:t>indicating the role of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ATP as a </w:t>
      </w:r>
      <w:proofErr w:type="spellStart"/>
      <w:r w:rsidRPr="006C06E4">
        <w:rPr>
          <w:rFonts w:ascii="Times New Roman" w:eastAsia="Times New Roman" w:hAnsi="Times New Roman" w:cs="Times New Roman"/>
          <w:color w:val="auto"/>
          <w:lang w:eastAsia="en-GB"/>
        </w:rPr>
        <w:t>hydrotrope</w:t>
      </w:r>
      <w:proofErr w:type="spellEnd"/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[1]. 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>To understand its underlying molecular mechanism, m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olecular </w:t>
      </w:r>
      <w:proofErr w:type="spellStart"/>
      <w:r>
        <w:rPr>
          <w:rFonts w:ascii="Times New Roman" w:eastAsia="Times New Roman" w:hAnsi="Times New Roman" w:cs="Times New Roman"/>
          <w:color w:val="auto"/>
          <w:lang w:eastAsia="en-GB"/>
        </w:rPr>
        <w:t>dynaimics</w:t>
      </w:r>
      <w:proofErr w:type="spellEnd"/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(MD) simulations have been applied t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o 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>study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the ATP-protein interactions. </w:t>
      </w:r>
      <w:r>
        <w:rPr>
          <w:rFonts w:ascii="Times New Roman" w:eastAsia="Times New Roman" w:hAnsi="Times New Roman" w:cs="Times New Roman"/>
          <w:color w:val="auto"/>
          <w:lang w:eastAsia="en-GB"/>
        </w:rPr>
        <w:t>Yet,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ATP molecules in MD simulations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 xml:space="preserve"> with classical force fields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tend to over-aggregate compared to experimental dissociation constants [2], and aggregation of ATP molecules 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can </w:t>
      </w:r>
      <w:r>
        <w:rPr>
          <w:rFonts w:ascii="Times New Roman" w:eastAsia="Times New Roman" w:hAnsi="Times New Roman" w:cs="Times New Roman"/>
          <w:color w:val="auto"/>
        </w:rPr>
        <w:t xml:space="preserve">negatively affect </w:t>
      </w:r>
      <w:r w:rsidR="007C6181">
        <w:rPr>
          <w:rFonts w:ascii="Times New Roman" w:eastAsia="Times New Roman" w:hAnsi="Times New Roman" w:cs="Times New Roman"/>
          <w:color w:val="auto"/>
        </w:rPr>
        <w:t xml:space="preserve">the 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>protein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>-ATP interactions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>.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>We anticipated that t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>his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over-aggregation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is partly due to the TIP3P water model,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 xml:space="preserve"> which is widely used but has been known 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to 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 xml:space="preserve">fail in properly describing protein unfolded state, e.g., shows 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>over-compact character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>.</w:t>
      </w:r>
    </w:p>
    <w:p w14:paraId="6DC2BF0E" w14:textId="2B9DF362" w:rsidR="00C35036" w:rsidRDefault="007C6181" w:rsidP="006C06E4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eastAsia="en-GB"/>
        </w:rPr>
      </w:pP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To this end, </w:t>
      </w:r>
      <w:r w:rsidR="00C07C48">
        <w:rPr>
          <w:rFonts w:ascii="Times New Roman" w:eastAsia="Times New Roman" w:hAnsi="Times New Roman" w:cs="Times New Roman"/>
          <w:color w:val="auto"/>
          <w:lang w:eastAsia="en-GB"/>
        </w:rPr>
        <w:t xml:space="preserve">we </w:t>
      </w:r>
      <w:r w:rsidR="00C35036">
        <w:rPr>
          <w:rFonts w:ascii="Times New Roman" w:eastAsia="Times New Roman" w:hAnsi="Times New Roman" w:cs="Times New Roman"/>
          <w:color w:val="auto"/>
          <w:lang w:eastAsia="en-GB"/>
        </w:rPr>
        <w:t>examine</w:t>
      </w:r>
      <w:r>
        <w:rPr>
          <w:rFonts w:ascii="Times New Roman" w:eastAsia="Times New Roman" w:hAnsi="Times New Roman" w:cs="Times New Roman"/>
          <w:color w:val="auto"/>
          <w:lang w:eastAsia="en-GB"/>
        </w:rPr>
        <w:t>d</w:t>
      </w:r>
      <w:r w:rsidR="00C07C48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C35036">
        <w:rPr>
          <w:rFonts w:ascii="Times New Roman" w:eastAsia="Times New Roman" w:hAnsi="Times New Roman" w:cs="Times New Roman"/>
          <w:color w:val="auto"/>
          <w:lang w:eastAsia="en-GB"/>
        </w:rPr>
        <w:t>different water models to see how the over-aggregation of ATP molecules can be controlled. In particular, we compare</w:t>
      </w:r>
      <w:r>
        <w:rPr>
          <w:rFonts w:ascii="Times New Roman" w:eastAsia="Times New Roman" w:hAnsi="Times New Roman" w:cs="Times New Roman"/>
          <w:color w:val="auto"/>
          <w:lang w:eastAsia="en-GB"/>
        </w:rPr>
        <w:t>d</w:t>
      </w:r>
      <w:r w:rsidR="00C35036">
        <w:rPr>
          <w:rFonts w:ascii="Times New Roman" w:eastAsia="Times New Roman" w:hAnsi="Times New Roman" w:cs="Times New Roman"/>
          <w:color w:val="auto"/>
          <w:lang w:eastAsia="en-GB"/>
        </w:rPr>
        <w:t xml:space="preserve"> </w:t>
      </w:r>
      <w:r w:rsidR="00C35036" w:rsidRPr="006C06E4">
        <w:rPr>
          <w:rFonts w:ascii="Times New Roman" w:eastAsia="Times New Roman" w:hAnsi="Times New Roman" w:cs="Times New Roman"/>
          <w:color w:val="auto"/>
          <w:lang w:eastAsia="en-GB"/>
        </w:rPr>
        <w:t>TIP4P-D and OPC</w:t>
      </w:r>
      <w:r w:rsidR="00C35036">
        <w:rPr>
          <w:rFonts w:ascii="Times New Roman" w:eastAsia="Times New Roman" w:hAnsi="Times New Roman" w:cs="Times New Roman"/>
          <w:color w:val="auto"/>
          <w:lang w:eastAsia="en-GB"/>
        </w:rPr>
        <w:t xml:space="preserve"> against TIP3P, which are designed to improve the behavior of the protein unfolded state. </w:t>
      </w:r>
      <w:r w:rsidR="00C35036" w:rsidRPr="006C06E4">
        <w:rPr>
          <w:rFonts w:ascii="Times New Roman" w:eastAsia="Times New Roman" w:hAnsi="Times New Roman" w:cs="Times New Roman"/>
          <w:color w:val="auto"/>
          <w:lang w:eastAsia="en-GB"/>
        </w:rPr>
        <w:t>Our MD simulations on the ATP in ~15 mM concentration show</w:t>
      </w:r>
      <w:r>
        <w:rPr>
          <w:rFonts w:ascii="Times New Roman" w:eastAsia="Times New Roman" w:hAnsi="Times New Roman" w:cs="Times New Roman"/>
          <w:color w:val="auto"/>
          <w:lang w:eastAsia="en-GB"/>
        </w:rPr>
        <w:t>ed</w:t>
      </w:r>
      <w:r w:rsidR="00C35036"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that ATP aggregates to a single cluster in the TIP3P water, whereas dynamic changes in the ATP cluster size</w:t>
      </w:r>
      <w:r>
        <w:rPr>
          <w:rFonts w:ascii="Times New Roman" w:eastAsia="Times New Roman" w:hAnsi="Times New Roman" w:cs="Times New Roman"/>
          <w:color w:val="auto"/>
          <w:lang w:eastAsia="en-GB"/>
        </w:rPr>
        <w:t xml:space="preserve"> were</w:t>
      </w:r>
      <w:r w:rsidR="00C35036"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observed in the TIP4P-D and OPC waters. This indicates that ATP over-aggregation can be reduced </w:t>
      </w:r>
      <w:r w:rsidR="00C35036">
        <w:rPr>
          <w:rFonts w:ascii="Times New Roman" w:eastAsia="Times New Roman" w:hAnsi="Times New Roman" w:cs="Times New Roman"/>
          <w:color w:val="auto"/>
          <w:lang w:eastAsia="en-GB"/>
        </w:rPr>
        <w:t>b</w:t>
      </w:r>
      <w:r w:rsidR="00C35036" w:rsidRPr="006C06E4">
        <w:rPr>
          <w:rFonts w:ascii="Times New Roman" w:eastAsia="Times New Roman" w:hAnsi="Times New Roman" w:cs="Times New Roman"/>
          <w:color w:val="auto"/>
          <w:lang w:eastAsia="en-GB"/>
        </w:rPr>
        <w:t>y changing the water model.</w:t>
      </w:r>
    </w:p>
    <w:p w14:paraId="15EBDC26" w14:textId="529C4BD2" w:rsidR="006C06E4" w:rsidRPr="006C06E4" w:rsidRDefault="00C35036" w:rsidP="006C06E4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eastAsia="en-GB"/>
        </w:rPr>
      </w:pPr>
      <w:r>
        <w:rPr>
          <w:rFonts w:ascii="Times New Roman" w:eastAsia="Times New Roman" w:hAnsi="Times New Roman" w:cs="Times New Roman"/>
          <w:color w:val="auto"/>
          <w:lang w:eastAsia="en-GB"/>
        </w:rPr>
        <w:t>Next, b</w:t>
      </w:r>
      <w:r w:rsidR="006C06E4" w:rsidRPr="006C06E4">
        <w:rPr>
          <w:rFonts w:ascii="Times New Roman" w:eastAsia="Times New Roman" w:hAnsi="Times New Roman" w:cs="Times New Roman"/>
          <w:color w:val="auto"/>
          <w:lang w:eastAsia="en-GB"/>
        </w:rPr>
        <w:t>y simulating the ATP-protein interaction for the disordered protein α-Synuclein, we f</w:t>
      </w:r>
      <w:r w:rsidR="007C6181">
        <w:rPr>
          <w:rFonts w:ascii="Times New Roman" w:eastAsia="Times New Roman" w:hAnsi="Times New Roman" w:cs="Times New Roman"/>
          <w:color w:val="auto"/>
          <w:lang w:eastAsia="en-GB"/>
        </w:rPr>
        <w:t>ou</w:t>
      </w:r>
      <w:r w:rsidR="006C06E4" w:rsidRPr="006C06E4">
        <w:rPr>
          <w:rFonts w:ascii="Times New Roman" w:eastAsia="Times New Roman" w:hAnsi="Times New Roman" w:cs="Times New Roman"/>
          <w:color w:val="auto"/>
          <w:lang w:eastAsia="en-GB"/>
        </w:rPr>
        <w:t>nd that water model also has a large impact on the ATP-protein interaction</w:t>
      </w:r>
      <w:r>
        <w:rPr>
          <w:rFonts w:ascii="Times New Roman" w:eastAsia="Times New Roman" w:hAnsi="Times New Roman" w:cs="Times New Roman"/>
          <w:color w:val="auto"/>
          <w:lang w:eastAsia="en-GB"/>
        </w:rPr>
        <w:t>s</w:t>
      </w:r>
      <w:r w:rsidR="006C06E4" w:rsidRPr="006C06E4">
        <w:rPr>
          <w:rFonts w:ascii="Times New Roman" w:eastAsia="Times New Roman" w:hAnsi="Times New Roman" w:cs="Times New Roman"/>
          <w:color w:val="auto"/>
          <w:lang w:eastAsia="en-GB"/>
        </w:rPr>
        <w:t>. In particular, ATP b</w:t>
      </w:r>
      <w:r>
        <w:rPr>
          <w:rFonts w:ascii="Times New Roman" w:eastAsia="Times New Roman" w:hAnsi="Times New Roman" w:cs="Times New Roman"/>
          <w:color w:val="auto"/>
          <w:lang w:eastAsia="en-GB"/>
        </w:rPr>
        <w:t>ound to</w:t>
      </w:r>
      <w:r w:rsidR="006C06E4"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the protein was almost fully preserved once formed</w:t>
      </w: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 xml:space="preserve"> in the TIP3P water</w:t>
      </w:r>
      <w:r w:rsidR="006C06E4" w:rsidRPr="006C06E4">
        <w:rPr>
          <w:rFonts w:ascii="Times New Roman" w:eastAsia="Times New Roman" w:hAnsi="Times New Roman" w:cs="Times New Roman"/>
          <w:color w:val="auto"/>
          <w:lang w:eastAsia="en-GB"/>
        </w:rPr>
        <w:t>, whereas repeating binding/unbinding from the protein was observed in the TIP4P-D and OPC waters.</w:t>
      </w:r>
    </w:p>
    <w:p w14:paraId="52984789" w14:textId="36FD3766" w:rsidR="00F728C6" w:rsidRPr="006C06E4" w:rsidRDefault="006C06E4" w:rsidP="006A41DD">
      <w:pPr>
        <w:autoSpaceDE/>
        <w:autoSpaceDN/>
        <w:jc w:val="left"/>
        <w:rPr>
          <w:rFonts w:ascii="Times New Roman" w:eastAsia="Times New Roman" w:hAnsi="Times New Roman" w:cs="Times New Roman"/>
          <w:color w:val="auto"/>
          <w:lang w:eastAsia="en-GB"/>
        </w:rPr>
      </w:pPr>
      <w:r w:rsidRPr="006C06E4">
        <w:rPr>
          <w:rFonts w:ascii="Times New Roman" w:eastAsia="Times New Roman" w:hAnsi="Times New Roman" w:cs="Times New Roman"/>
          <w:color w:val="auto"/>
          <w:lang w:eastAsia="en-GB"/>
        </w:rPr>
        <w:t>These results indicate the importance of water models in describing the ATP-protein interaction in high ATP concentration and also suggests that the interaction can be tuned by choosing the appropriate water model [3].</w:t>
      </w:r>
    </w:p>
    <w:p w14:paraId="1935DA7B" w14:textId="7DF51355" w:rsidR="00455BDA" w:rsidRPr="00C35036" w:rsidRDefault="00C35036" w:rsidP="007C6181">
      <w:pPr>
        <w:pStyle w:val="2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1054ED">
        <w:rPr>
          <w:rFonts w:eastAsia="Times New Roman"/>
          <w:noProof/>
        </w:rPr>
        <w:drawing>
          <wp:inline distT="0" distB="0" distL="0" distR="0" wp14:anchorId="2A901111" wp14:editId="3EB5F0BF">
            <wp:extent cx="3475278" cy="2608089"/>
            <wp:effectExtent l="0" t="0" r="5080" b="0"/>
            <wp:docPr id="1" name="図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/>
                    <pic:cNvPicPr>
                      <a:picLocks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278" cy="260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5CC7" w14:textId="79F03EF3" w:rsidR="00274257" w:rsidRPr="0061348E" w:rsidRDefault="00274257" w:rsidP="007C6181">
      <w:pPr>
        <w:adjustRightInd w:val="0"/>
        <w:snapToGrid w:val="0"/>
        <w:ind w:firstLine="708"/>
        <w:jc w:val="center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C35036" w:rsidRPr="00C35036">
        <w:rPr>
          <w:rFonts w:ascii="Times New Roman" w:hAnsi="Times New Roman" w:cs="Times New Roman"/>
          <w:bCs/>
          <w:i/>
          <w:color w:val="auto"/>
          <w:sz w:val="22"/>
          <w:szCs w:val="22"/>
        </w:rPr>
        <w:t>Summary of ATP-protein interactions.</w:t>
      </w:r>
      <w:r w:rsidR="007C6181">
        <w:rPr>
          <w:rFonts w:ascii="Times New Roman" w:hAnsi="Times New Roman" w:cs="Times New Roman"/>
          <w:bCs/>
          <w:i/>
          <w:color w:val="auto"/>
          <w:sz w:val="22"/>
          <w:szCs w:val="22"/>
        </w:rPr>
        <w:t xml:space="preserve"> (a) Characteristic snapshot, (b) distribution of cluster sizes, and (c) distances between ATP and residues in </w:t>
      </w:r>
      <w:r w:rsidR="007C6181" w:rsidRPr="007C6181">
        <w:rPr>
          <w:rFonts w:ascii="Times New Roman" w:hAnsi="Times New Roman" w:cs="Times New Roman"/>
          <w:bCs/>
          <w:i/>
          <w:color w:val="auto"/>
          <w:sz w:val="22"/>
          <w:szCs w:val="22"/>
        </w:rPr>
        <w:t>α-Synuclein</w:t>
      </w:r>
      <w:r w:rsidR="007C6181">
        <w:rPr>
          <w:rFonts w:ascii="Times New Roman" w:hAnsi="Times New Roman" w:cs="Times New Roman"/>
          <w:bCs/>
          <w:i/>
          <w:color w:val="auto"/>
          <w:sz w:val="22"/>
          <w:szCs w:val="22"/>
        </w:rPr>
        <w:t xml:space="preserve"> along the trajectories</w:t>
      </w:r>
      <w:r w:rsidR="00722E80">
        <w:rPr>
          <w:rFonts w:ascii="Times New Roman" w:hAnsi="Times New Roman" w:cs="Times New Roman"/>
          <w:bCs/>
          <w:i/>
          <w:color w:val="auto"/>
          <w:sz w:val="22"/>
          <w:szCs w:val="22"/>
        </w:rPr>
        <w:t>.</w:t>
      </w:r>
      <w:r w:rsidR="007C6181">
        <w:rPr>
          <w:rFonts w:ascii="Times New Roman" w:hAnsi="Times New Roman" w:cs="Times New Roman"/>
          <w:bCs/>
          <w:i/>
          <w:color w:val="auto"/>
          <w:sz w:val="22"/>
          <w:szCs w:val="22"/>
        </w:rPr>
        <w:t xml:space="preserve"> </w:t>
      </w:r>
    </w:p>
    <w:p w14:paraId="48F30BB2" w14:textId="77777777" w:rsidR="00455BDA" w:rsidRPr="00414C25" w:rsidRDefault="00455BDA" w:rsidP="00AF4C78">
      <w:pPr>
        <w:ind w:firstLine="284"/>
        <w:jc w:val="left"/>
        <w:rPr>
          <w:rFonts w:ascii="Times New Roman" w:hAnsi="Times New Roman" w:cs="Times New Roman"/>
          <w:lang w:val="en-GB"/>
        </w:rPr>
      </w:pPr>
    </w:p>
    <w:p w14:paraId="1B072EA9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7D95BC31" w14:textId="4C80A693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  <w:t xml:space="preserve">A. </w:t>
      </w:r>
      <w:r w:rsidR="006C06E4">
        <w:rPr>
          <w:rFonts w:ascii="Times New Roman" w:hAnsi="Times New Roman" w:cs="Times New Roman"/>
          <w:lang w:val="en-GB"/>
        </w:rPr>
        <w:t xml:space="preserve">Patel </w:t>
      </w:r>
      <w:r w:rsidR="006C06E4" w:rsidRPr="006C06E4">
        <w:rPr>
          <w:rFonts w:ascii="Times New Roman" w:hAnsi="Times New Roman" w:cs="Times New Roman"/>
          <w:i/>
          <w:iCs/>
          <w:lang w:val="en-GB"/>
        </w:rPr>
        <w:t>et al.</w:t>
      </w:r>
      <w:r w:rsidR="006D0198" w:rsidRPr="006D0198">
        <w:rPr>
          <w:rFonts w:ascii="Times New Roman" w:hAnsi="Times New Roman" w:cs="Times New Roman"/>
        </w:rPr>
        <w:t>,</w:t>
      </w:r>
      <w:r w:rsidRPr="006A41DD">
        <w:rPr>
          <w:rFonts w:ascii="Times New Roman" w:hAnsi="Times New Roman" w:cs="Times New Roman" w:hint="eastAsia"/>
          <w:lang w:val="en-GB"/>
        </w:rPr>
        <w:t xml:space="preserve"> </w:t>
      </w:r>
      <w:r w:rsidR="006C06E4">
        <w:rPr>
          <w:rFonts w:ascii="Times New Roman" w:hAnsi="Times New Roman" w:cs="Times New Roman"/>
          <w:i/>
          <w:iCs/>
          <w:lang w:val="en-GB"/>
        </w:rPr>
        <w:t>Science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6C06E4">
        <w:rPr>
          <w:rFonts w:ascii="Times New Roman" w:hAnsi="Times New Roman" w:cs="Times New Roman"/>
          <w:b/>
          <w:bCs/>
          <w:lang w:val="en-GB"/>
        </w:rPr>
        <w:t>356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6C06E4">
        <w:rPr>
          <w:rFonts w:ascii="Times New Roman" w:hAnsi="Times New Roman" w:cs="Times New Roman"/>
          <w:lang w:val="en-GB"/>
        </w:rPr>
        <w:t>753-756</w:t>
      </w:r>
      <w:r w:rsidRPr="006A41DD">
        <w:rPr>
          <w:rFonts w:ascii="Times New Roman" w:hAnsi="Times New Roman" w:cs="Times New Roman"/>
          <w:lang w:val="en-GB"/>
        </w:rPr>
        <w:t xml:space="preserve"> (</w:t>
      </w:r>
      <w:r w:rsidR="006C06E4">
        <w:rPr>
          <w:rFonts w:ascii="Times New Roman" w:hAnsi="Times New Roman" w:cs="Times New Roman"/>
          <w:lang w:val="en-GB"/>
        </w:rPr>
        <w:t>2017</w:t>
      </w:r>
      <w:r w:rsidRPr="006A41DD">
        <w:rPr>
          <w:rFonts w:ascii="Times New Roman" w:hAnsi="Times New Roman" w:cs="Times New Roman"/>
          <w:lang w:val="en-GB"/>
        </w:rPr>
        <w:t>).</w:t>
      </w:r>
    </w:p>
    <w:p w14:paraId="7461A9D8" w14:textId="07C7BDA1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6C06E4">
        <w:rPr>
          <w:rFonts w:ascii="Times New Roman" w:hAnsi="Times New Roman" w:cs="Times New Roman"/>
          <w:lang w:val="en-GB"/>
        </w:rPr>
        <w:t>J</w:t>
      </w:r>
      <w:r w:rsidRPr="006A41DD">
        <w:rPr>
          <w:rFonts w:ascii="Times New Roman" w:hAnsi="Times New Roman" w:cs="Times New Roman"/>
          <w:lang w:val="en-GB"/>
        </w:rPr>
        <w:t xml:space="preserve">. </w:t>
      </w:r>
      <w:r w:rsidR="006C06E4">
        <w:rPr>
          <w:rFonts w:ascii="Times New Roman" w:hAnsi="Times New Roman" w:cs="Times New Roman"/>
          <w:lang w:val="en-GB"/>
        </w:rPr>
        <w:t xml:space="preserve">Mehringer </w:t>
      </w:r>
      <w:r w:rsidR="006C06E4" w:rsidRPr="006C06E4">
        <w:rPr>
          <w:rFonts w:ascii="Times New Roman" w:hAnsi="Times New Roman" w:cs="Times New Roman"/>
          <w:i/>
          <w:iCs/>
          <w:lang w:val="en-GB"/>
        </w:rPr>
        <w:t>et al.</w:t>
      </w:r>
      <w:r w:rsidR="006D0198" w:rsidRPr="006D0198">
        <w:rPr>
          <w:rFonts w:ascii="Times New Roman" w:hAnsi="Times New Roman" w:cs="Times New Roman"/>
        </w:rPr>
        <w:t>,</w:t>
      </w:r>
      <w:r w:rsidRPr="006A41DD">
        <w:rPr>
          <w:rFonts w:ascii="Times New Roman" w:hAnsi="Times New Roman" w:cs="Times New Roman"/>
          <w:lang w:val="en-GB"/>
        </w:rPr>
        <w:t xml:space="preserve"> </w:t>
      </w:r>
      <w:r w:rsidR="006C06E4">
        <w:rPr>
          <w:rFonts w:ascii="Times New Roman" w:hAnsi="Times New Roman" w:cs="Times New Roman"/>
          <w:i/>
          <w:iCs/>
          <w:lang w:val="en-GB"/>
        </w:rPr>
        <w:t>Cell Reports Phys. Sci.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6C06E4">
        <w:rPr>
          <w:rFonts w:ascii="Times New Roman" w:hAnsi="Times New Roman" w:cs="Times New Roman"/>
          <w:b/>
          <w:bCs/>
          <w:lang w:val="en-GB"/>
        </w:rPr>
        <w:t>2</w:t>
      </w:r>
      <w:r w:rsidR="006C06E4" w:rsidRPr="006A41DD">
        <w:rPr>
          <w:rFonts w:ascii="Times New Roman" w:hAnsi="Times New Roman" w:cs="Times New Roman"/>
          <w:lang w:val="en-GB"/>
        </w:rPr>
        <w:t xml:space="preserve">, </w:t>
      </w:r>
      <w:r w:rsidR="006C06E4">
        <w:rPr>
          <w:rFonts w:ascii="Times New Roman" w:hAnsi="Times New Roman" w:cs="Times New Roman"/>
          <w:lang w:val="en-GB"/>
        </w:rPr>
        <w:t>100343</w:t>
      </w:r>
      <w:r w:rsidR="006C06E4" w:rsidRPr="006A41DD">
        <w:rPr>
          <w:rFonts w:ascii="Times New Roman" w:hAnsi="Times New Roman" w:cs="Times New Roman"/>
          <w:lang w:val="en-GB"/>
        </w:rPr>
        <w:t xml:space="preserve"> (</w:t>
      </w:r>
      <w:r w:rsidR="006C06E4">
        <w:rPr>
          <w:rFonts w:ascii="Times New Roman" w:hAnsi="Times New Roman" w:cs="Times New Roman"/>
          <w:lang w:val="en-GB"/>
        </w:rPr>
        <w:t>2021</w:t>
      </w:r>
      <w:r w:rsidR="006C06E4" w:rsidRPr="006A41DD">
        <w:rPr>
          <w:rFonts w:ascii="Times New Roman" w:hAnsi="Times New Roman" w:cs="Times New Roman"/>
          <w:lang w:val="en-GB"/>
        </w:rPr>
        <w:t>).</w:t>
      </w:r>
    </w:p>
    <w:p w14:paraId="47C93213" w14:textId="78180B6A" w:rsidR="009B7FE3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 w:rsidRPr="006A41DD">
        <w:rPr>
          <w:rFonts w:ascii="Times New Roman" w:hAnsi="Times New Roman" w:cs="Times New Roman"/>
          <w:lang w:val="en-GB"/>
        </w:rPr>
        <w:lastRenderedPageBreak/>
        <w:t>[3]</w:t>
      </w:r>
      <w:r w:rsidRPr="006A41DD">
        <w:rPr>
          <w:rFonts w:ascii="Times New Roman" w:hAnsi="Times New Roman" w:cs="Times New Roman"/>
          <w:lang w:val="en-GB"/>
        </w:rPr>
        <w:tab/>
      </w:r>
      <w:r w:rsidR="006C06E4">
        <w:rPr>
          <w:rFonts w:ascii="Times New Roman" w:hAnsi="Times New Roman" w:cs="Times New Roman"/>
          <w:lang w:val="en-GB"/>
        </w:rPr>
        <w:t xml:space="preserve">T. Mori and N. Yoshida, </w:t>
      </w:r>
      <w:r w:rsidR="006C06E4">
        <w:rPr>
          <w:rFonts w:ascii="Times New Roman" w:hAnsi="Times New Roman" w:cs="Times New Roman"/>
          <w:i/>
          <w:iCs/>
          <w:lang w:val="en-GB"/>
        </w:rPr>
        <w:t xml:space="preserve">J. Chem. Phys. </w:t>
      </w:r>
      <w:r w:rsidR="006C06E4">
        <w:rPr>
          <w:rFonts w:ascii="Times New Roman" w:hAnsi="Times New Roman" w:cs="Times New Roman"/>
          <w:b/>
          <w:bCs/>
          <w:lang w:val="en-GB"/>
        </w:rPr>
        <w:t>159</w:t>
      </w:r>
      <w:r w:rsidR="006C06E4" w:rsidRPr="006A41DD">
        <w:rPr>
          <w:rFonts w:ascii="Times New Roman" w:hAnsi="Times New Roman" w:cs="Times New Roman"/>
          <w:lang w:val="en-GB"/>
        </w:rPr>
        <w:t xml:space="preserve">, </w:t>
      </w:r>
      <w:r w:rsidR="006C06E4">
        <w:rPr>
          <w:rFonts w:ascii="Times New Roman" w:hAnsi="Times New Roman" w:cs="Times New Roman"/>
          <w:lang w:val="en-GB"/>
        </w:rPr>
        <w:t>035102</w:t>
      </w:r>
      <w:r w:rsidR="006C06E4" w:rsidRPr="006A41DD">
        <w:rPr>
          <w:rFonts w:ascii="Times New Roman" w:hAnsi="Times New Roman" w:cs="Times New Roman"/>
          <w:lang w:val="en-GB"/>
        </w:rPr>
        <w:t xml:space="preserve"> (</w:t>
      </w:r>
      <w:r w:rsidR="006C06E4">
        <w:rPr>
          <w:rFonts w:ascii="Times New Roman" w:hAnsi="Times New Roman" w:cs="Times New Roman"/>
          <w:lang w:val="en-GB"/>
        </w:rPr>
        <w:t>2023</w:t>
      </w:r>
      <w:r w:rsidR="006C06E4" w:rsidRPr="006A41DD">
        <w:rPr>
          <w:rFonts w:ascii="Times New Roman" w:hAnsi="Times New Roman" w:cs="Times New Roman"/>
          <w:lang w:val="en-GB"/>
        </w:rPr>
        <w:t>).</w:t>
      </w:r>
    </w:p>
    <w:sectPr w:rsidR="009B7FE3" w:rsidRPr="006A41D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BC836" w14:textId="77777777" w:rsidR="0000169A" w:rsidRDefault="0000169A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2CE71DAE" w14:textId="77777777" w:rsidR="0000169A" w:rsidRDefault="0000169A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panose1 w:val="00000000000000000000"/>
    <w:charset w:val="00"/>
    <w:family w:val="auto"/>
    <w:pitch w:val="variable"/>
    <w:sig w:usb0="A00002FF" w:usb1="7800205A" w:usb2="14600000" w:usb3="00000000" w:csb0="00000193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F927" w14:textId="77777777" w:rsidR="0000169A" w:rsidRDefault="0000169A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21148EE4" w14:textId="77777777" w:rsidR="0000169A" w:rsidRDefault="0000169A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3FB3D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1CFA1985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596443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0169A"/>
    <w:rsid w:val="000908E8"/>
    <w:rsid w:val="000D2FA6"/>
    <w:rsid w:val="000E068C"/>
    <w:rsid w:val="000E2212"/>
    <w:rsid w:val="001074BF"/>
    <w:rsid w:val="00121503"/>
    <w:rsid w:val="00193928"/>
    <w:rsid w:val="00231302"/>
    <w:rsid w:val="00253636"/>
    <w:rsid w:val="00263205"/>
    <w:rsid w:val="00274257"/>
    <w:rsid w:val="002A2BE3"/>
    <w:rsid w:val="002D2CBB"/>
    <w:rsid w:val="002E2D20"/>
    <w:rsid w:val="0032555C"/>
    <w:rsid w:val="00347A46"/>
    <w:rsid w:val="00353EAC"/>
    <w:rsid w:val="00365F82"/>
    <w:rsid w:val="00397F66"/>
    <w:rsid w:val="00414C25"/>
    <w:rsid w:val="00455BDA"/>
    <w:rsid w:val="00464BEB"/>
    <w:rsid w:val="004931DE"/>
    <w:rsid w:val="004B6472"/>
    <w:rsid w:val="004C64EB"/>
    <w:rsid w:val="004D323C"/>
    <w:rsid w:val="004E30A4"/>
    <w:rsid w:val="00501487"/>
    <w:rsid w:val="005469D9"/>
    <w:rsid w:val="005545FA"/>
    <w:rsid w:val="00586A94"/>
    <w:rsid w:val="005A089E"/>
    <w:rsid w:val="005B2556"/>
    <w:rsid w:val="005C305C"/>
    <w:rsid w:val="005C41E1"/>
    <w:rsid w:val="005F7FCC"/>
    <w:rsid w:val="0061348E"/>
    <w:rsid w:val="00630A60"/>
    <w:rsid w:val="00641F63"/>
    <w:rsid w:val="006600CA"/>
    <w:rsid w:val="0066218E"/>
    <w:rsid w:val="006A41DD"/>
    <w:rsid w:val="006B46E6"/>
    <w:rsid w:val="006B6FA2"/>
    <w:rsid w:val="006C06E4"/>
    <w:rsid w:val="006C3A1F"/>
    <w:rsid w:val="006D0198"/>
    <w:rsid w:val="006D29C2"/>
    <w:rsid w:val="006E522B"/>
    <w:rsid w:val="00722E80"/>
    <w:rsid w:val="00736CAF"/>
    <w:rsid w:val="00790F76"/>
    <w:rsid w:val="007C1576"/>
    <w:rsid w:val="007C5B23"/>
    <w:rsid w:val="007C6181"/>
    <w:rsid w:val="007D40D8"/>
    <w:rsid w:val="007F6CCF"/>
    <w:rsid w:val="00803424"/>
    <w:rsid w:val="0081503C"/>
    <w:rsid w:val="008225C4"/>
    <w:rsid w:val="00835925"/>
    <w:rsid w:val="008373DC"/>
    <w:rsid w:val="0085659C"/>
    <w:rsid w:val="008A5395"/>
    <w:rsid w:val="008B080E"/>
    <w:rsid w:val="008B09B5"/>
    <w:rsid w:val="008B2A18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55946"/>
    <w:rsid w:val="00A805D7"/>
    <w:rsid w:val="00AA11ED"/>
    <w:rsid w:val="00AC16A9"/>
    <w:rsid w:val="00AD0CB5"/>
    <w:rsid w:val="00AF4C78"/>
    <w:rsid w:val="00B70E27"/>
    <w:rsid w:val="00BE435F"/>
    <w:rsid w:val="00C07C48"/>
    <w:rsid w:val="00C35036"/>
    <w:rsid w:val="00C75D52"/>
    <w:rsid w:val="00CB1F1E"/>
    <w:rsid w:val="00CB6020"/>
    <w:rsid w:val="00CD29C8"/>
    <w:rsid w:val="00CF7596"/>
    <w:rsid w:val="00D334E6"/>
    <w:rsid w:val="00D412F4"/>
    <w:rsid w:val="00D656A7"/>
    <w:rsid w:val="00D808D2"/>
    <w:rsid w:val="00D8300D"/>
    <w:rsid w:val="00D90AA2"/>
    <w:rsid w:val="00DF7C35"/>
    <w:rsid w:val="00E4528E"/>
    <w:rsid w:val="00E519B2"/>
    <w:rsid w:val="00E80C4B"/>
    <w:rsid w:val="00E87D17"/>
    <w:rsid w:val="00E931EB"/>
    <w:rsid w:val="00ED3DD1"/>
    <w:rsid w:val="00EE08EF"/>
    <w:rsid w:val="00EE79AA"/>
    <w:rsid w:val="00EF2E31"/>
    <w:rsid w:val="00F0375E"/>
    <w:rsid w:val="00F728C6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534FC2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Toshifumi Mori</cp:lastModifiedBy>
  <cp:revision>16</cp:revision>
  <cp:lastPrinted>2016-01-14T19:34:00Z</cp:lastPrinted>
  <dcterms:created xsi:type="dcterms:W3CDTF">2026-04-27T01:55:00Z</dcterms:created>
  <dcterms:modified xsi:type="dcterms:W3CDTF">2026-05-02T02:46:00Z</dcterms:modified>
</cp:coreProperties>
</file>