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en-GB"/>
        </w:rPr>
        <w:t>How Much Water Is Too Much? Structural and Dynamical Transitions in Solvate Ionic Liquid Electrolytes</w:t>
      </w:r>
    </w:p>
    <w:p>
      <w:pPr>
        <w:pStyle w:val="Normal"/>
        <w:jc w:val="center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cs="Times New Roman" w:ascii="Times New Roman" w:hAnsi="Times New Roman"/>
          <w:sz w:val="20"/>
          <w:szCs w:val="20"/>
          <w:lang w:val="en-GB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bCs/>
          <w:lang w:val="en-GB"/>
        </w:rPr>
      </w:pPr>
      <w:r>
        <w:rPr>
          <w:rFonts w:eastAsia="MS Mincho" w:cs="Times New Roman" w:ascii="Times New Roman" w:hAnsi="Times New Roman"/>
          <w:b/>
          <w:bCs/>
          <w:color w:val="000000"/>
          <w:sz w:val="24"/>
          <w:szCs w:val="24"/>
          <w:u w:val="single"/>
          <w:lang w:val="en-GB" w:eastAsia="ja-JP"/>
        </w:rPr>
        <w:t>J. K. Philipp-Taube</w:t>
      </w:r>
      <w:r>
        <w:rPr>
          <w:rFonts w:cs="Times New Roman" w:ascii="Times New Roman" w:hAnsi="Times New Roman"/>
          <w:b/>
          <w:bCs/>
          <w:vertAlign w:val="superscript"/>
          <w:lang w:val="en-GB"/>
        </w:rPr>
        <w:t>1</w:t>
      </w:r>
      <w:r>
        <w:rPr>
          <w:rFonts w:cs="Times New Roman" w:ascii="Times New Roman" w:hAnsi="Times New Roman"/>
          <w:b/>
          <w:bCs/>
          <w:lang w:val="en-GB"/>
        </w:rPr>
        <w:t xml:space="preserve">, </w:t>
      </w:r>
      <w:r>
        <w:rPr>
          <w:rFonts w:eastAsia="MS Mincho" w:cs="Times New Roman" w:ascii="Times New Roman" w:hAnsi="Times New Roman"/>
          <w:b/>
          <w:bCs/>
          <w:color w:val="000000"/>
          <w:sz w:val="24"/>
          <w:szCs w:val="24"/>
          <w:lang w:val="en-GB" w:eastAsia="ja-JP"/>
        </w:rPr>
        <w:t>A. Strate</w:t>
      </w:r>
      <w:r>
        <w:rPr>
          <w:rFonts w:cs="Times New Roman" w:ascii="Times New Roman" w:hAnsi="Times New Roman"/>
          <w:b/>
          <w:bCs/>
          <w:vertAlign w:val="superscript"/>
          <w:lang w:val="en-GB"/>
        </w:rPr>
        <w:t>1</w:t>
      </w:r>
      <w:r>
        <w:rPr>
          <w:rFonts w:cs="Times New Roman" w:ascii="Times New Roman" w:hAnsi="Times New Roman"/>
          <w:b/>
          <w:bCs/>
          <w:lang w:val="en-GB"/>
        </w:rPr>
        <w:t xml:space="preserve">, </w:t>
      </w:r>
      <w:r>
        <w:rPr>
          <w:rFonts w:eastAsia="MS Mincho" w:cs="Times New Roman" w:ascii="Times New Roman" w:hAnsi="Times New Roman"/>
          <w:b/>
          <w:bCs/>
          <w:color w:val="000000"/>
          <w:sz w:val="24"/>
          <w:szCs w:val="24"/>
          <w:u w:val="none"/>
          <w:lang w:val="en-GB" w:eastAsia="ja-JP"/>
        </w:rPr>
        <w:t>D. Paschek</w:t>
      </w:r>
      <w:r>
        <w:rPr>
          <w:rFonts w:eastAsia="MS Mincho" w:cs="Times New Roman" w:ascii="Times New Roman" w:hAnsi="Times New Roman"/>
          <w:b/>
          <w:bCs/>
          <w:color w:val="000000"/>
          <w:sz w:val="24"/>
          <w:szCs w:val="24"/>
          <w:u w:val="none"/>
          <w:vertAlign w:val="superscript"/>
          <w:lang w:val="en-GB" w:eastAsia="ja-JP"/>
        </w:rPr>
        <w:t>1</w:t>
      </w:r>
      <w:r>
        <w:rPr>
          <w:rFonts w:eastAsia="MS Mincho" w:cs="Times New Roman" w:ascii="Times New Roman" w:hAnsi="Times New Roman"/>
          <w:b/>
          <w:bCs/>
          <w:color w:val="000000"/>
          <w:position w:val="0"/>
          <w:sz w:val="24"/>
          <w:sz w:val="24"/>
          <w:szCs w:val="24"/>
          <w:u w:val="none"/>
          <w:vertAlign w:val="baseline"/>
          <w:lang w:val="en-GB" w:eastAsia="ja-JP"/>
        </w:rPr>
        <w:t>, R. Ludwig</w:t>
      </w:r>
      <w:r>
        <w:rPr>
          <w:rFonts w:eastAsia="MS Mincho" w:cs="Times New Roman" w:ascii="Times New Roman" w:hAnsi="Times New Roman"/>
          <w:b/>
          <w:bCs/>
          <w:color w:val="000000"/>
          <w:sz w:val="24"/>
          <w:szCs w:val="24"/>
          <w:u w:val="none"/>
          <w:vertAlign w:val="superscript"/>
          <w:lang w:val="en-GB" w:eastAsia="ja-JP"/>
        </w:rPr>
        <w:t>1</w:t>
      </w:r>
    </w:p>
    <w:p>
      <w:pPr>
        <w:pStyle w:val="Normal"/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cs="Times New Roman" w:ascii="Times New Roman" w:hAnsi="Times New Roman"/>
          <w:sz w:val="22"/>
          <w:szCs w:val="22"/>
          <w:vertAlign w:val="superscript"/>
          <w:lang w:val="en-GB"/>
        </w:rPr>
        <w:t>1</w:t>
      </w:r>
      <w:r>
        <w:rPr>
          <w:rFonts w:cs="Times New Roman" w:ascii="Times New Roman" w:hAnsi="Times New Roman"/>
          <w:sz w:val="22"/>
          <w:szCs w:val="22"/>
          <w:lang w:val="en-GB"/>
        </w:rPr>
        <w:t>University of Rostock, Albert-Einstein-Str. 27, 18059 Rostock, Germany</w:t>
      </w:r>
    </w:p>
    <w:p>
      <w:pPr>
        <w:pStyle w:val="Normal"/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cs="Times New Roman" w:ascii="Times New Roman" w:hAnsi="Times New Roman"/>
          <w:sz w:val="22"/>
          <w:szCs w:val="22"/>
          <w:lang w:val="en-GB"/>
        </w:rPr>
        <w:t xml:space="preserve">e-mail: </w:t>
      </w:r>
      <w:r>
        <w:rPr>
          <w:rFonts w:eastAsia="MS Mincho" w:cs="Times New Roman" w:ascii="Times New Roman" w:hAnsi="Times New Roman"/>
          <w:color w:val="000000"/>
          <w:sz w:val="22"/>
          <w:szCs w:val="22"/>
          <w:lang w:val="en-GB" w:eastAsia="ja-JP"/>
        </w:rPr>
        <w:t>jule.philipp@uni-rostock.de</w:t>
      </w:r>
    </w:p>
    <w:p>
      <w:pPr>
        <w:pStyle w:val="Normal"/>
        <w:rPr>
          <w:rFonts w:ascii="Times New Roman" w:hAnsi="Times New Roman" w:cs="Times New Roman"/>
          <w:lang w:val="en-GB"/>
        </w:rPr>
      </w:pPr>
      <w:r>
        <w:rPr>
          <w:rFonts w:cs="Times New Roman" w:ascii="Times New Roman" w:hAnsi="Times New Roman"/>
          <w:lang w:val="en-GB"/>
        </w:rPr>
      </w:r>
    </w:p>
    <w:p>
      <w:pPr>
        <w:pStyle w:val="TextBody"/>
        <w:jc w:val="left"/>
        <w:rPr/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 xml:space="preserve">The controlled 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dilution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 xml:space="preserve"> of highly coordinated electrolyte systems 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 xml:space="preserve">with 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molecular solvents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offers a promising route to tune transport and stability properties in advanced energy materials.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[1]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 xml:space="preserve"> Here, we investigate the structural and dynamical evolution of solvate ionic liquid 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(SIL)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 xml:space="preserve"> electrolytes upon 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gradual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 xml:space="preserve"> water addition, with particular focus on the transition from 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a coordination-driven system,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 xml:space="preserve"> the water-in-solvate-ionic-liquid (WISIL) regime, to its breakdown at higher water contents.</w:t>
      </w:r>
    </w:p>
    <w:p>
      <w:pPr>
        <w:pStyle w:val="TextBody"/>
        <w:jc w:val="left"/>
        <w:rPr/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 xml:space="preserve">Using a combined experimental and molecular dynamics simulation approach, we resolve how water is incorporated into 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 xml:space="preserve">the SIL formed by 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 xml:space="preserve">the equimolar 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 xml:space="preserve">mixture of 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[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Li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][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NTf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vertAlign w:val="subscript"/>
          <w:lang w:val="en-GB" w:eastAsia="en-GB"/>
        </w:rPr>
        <w:t>2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]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and triglyme (G3)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 xml:space="preserve">. At low water content, water remains highly dispersed and preferentially inserts into the 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 xml:space="preserve">cationic chelate complex 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[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Li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(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G3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)]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vertAlign w:val="superscript"/>
          <w:lang w:val="en-GB" w:eastAsia="en-GB"/>
        </w:rPr>
        <w:t>+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 xml:space="preserve"> coordination shell, forming long-lived 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[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Li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(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H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vertAlign w:val="subscript"/>
          <w:lang w:val="en-GB" w:eastAsia="en-GB"/>
        </w:rPr>
        <w:t>2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O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)(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G3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)]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vertAlign w:val="superscript"/>
          <w:lang w:val="en-GB" w:eastAsia="en-GB"/>
        </w:rPr>
        <w:t>+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 xml:space="preserve"> motifs that preserve the coordination-dominated local structure of the 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SIL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 xml:space="preserve">. In this regime, the addition of water substantially lowers viscosity and enhances ionic conductivity while largely maintaining the wide electrochemical stability window 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(ESW)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 xml:space="preserve"> characteristic of the neat SIL.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[2]</w:t>
      </w:r>
    </w:p>
    <w:p>
      <w:pPr>
        <w:pStyle w:val="TextBody"/>
        <w:jc w:val="left"/>
        <w:rPr/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Upon further dilution, a distinct structural transition occurs: the coordinated complexes progressively disintegrate and extended water–water hydrogen-bond networks emerge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[3]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 xml:space="preserve">, accompanied by increased molecular mobility and increasingly bulk-like water behavior. This transition is further characterized by predominantly hydrated 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lithium</w:t>
      </w: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 xml:space="preserve"> cations and a substantially narrowed ESW, approaching that of conventional aqueous electrolytes.</w:t>
      </w:r>
    </w:p>
    <w:p>
      <w:pPr>
        <w:pStyle w:val="TextBody"/>
        <w:jc w:val="left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en-GB" w:eastAsia="en-GB"/>
        </w:rPr>
        <w:t>Our results identify a narrow compositional window in which water addition is beneficial and reveal the molecular mechanisms governing the crossover from dispersed mixing to hydrogen-bond network formation in complex electrolyte solutions. The findings connect microscopic mixing behavior with macroscopic transport and electrochemical properties, providing insights into solvent-driven structural transitions in highly concentrated electrolyte mixtures.</w:t>
      </w:r>
    </w:p>
    <w:p>
      <w:pPr>
        <w:pStyle w:val="TextBody"/>
        <w:jc w:val="left"/>
        <w:rPr>
          <w:rFonts w:eastAsia="Times New Roman"/>
          <w:color w:val="auto"/>
          <w:lang w:eastAsia="en-GB"/>
        </w:rPr>
      </w:pPr>
      <w:r>
        <w:rPr>
          <w:rFonts w:cs="Times New Roman" w:ascii="Times New Roman" w:hAnsi="Times New Roman"/>
          <w:sz w:val="24"/>
          <w:szCs w:val="24"/>
          <w:lang w:val="en-GB"/>
        </w:rPr>
      </w:r>
      <w:bookmarkStart w:id="0" w:name="_GoBack"/>
      <w:bookmarkStart w:id="1" w:name="_GoBack"/>
      <w:bookmarkEnd w:id="1"/>
    </w:p>
    <w:p>
      <w:pPr>
        <w:pStyle w:val="Normal"/>
        <w:jc w:val="left"/>
        <w:rPr>
          <w:rFonts w:ascii="Times New Roman" w:hAnsi="Times New Roman" w:cs="Times New Roman"/>
          <w:lang w:val="en-GB"/>
        </w:rPr>
      </w:pPr>
      <w:r>
        <w:rPr>
          <w:rFonts w:cs="Times New Roman" w:ascii="Times New Roman" w:hAnsi="Times New Roman"/>
          <w:b/>
          <w:bCs/>
          <w:lang w:val="en-GB"/>
        </w:rPr>
        <w:t>References</w:t>
      </w:r>
    </w:p>
    <w:p>
      <w:pPr>
        <w:pStyle w:val="Normal"/>
        <w:ind w:left="426" w:right="-2" w:hanging="426"/>
        <w:jc w:val="left"/>
        <w:rPr>
          <w:rFonts w:ascii="Times New Roman" w:hAnsi="Times New Roman" w:cs="Times New Roman"/>
          <w:lang w:val="en-GB"/>
        </w:rPr>
      </w:pPr>
      <w:r>
        <w:rPr>
          <w:rFonts w:cs="Times New Roman" w:ascii="Times New Roman" w:hAnsi="Times New Roman"/>
          <w:lang w:val="en-GB"/>
        </w:rPr>
        <w:t>[1]</w:t>
        <w:tab/>
      </w:r>
      <w:r>
        <w:rPr>
          <w:rFonts w:eastAsia="MS Mincho" w:cs="Times New Roman" w:ascii="Times New Roman" w:hAnsi="Times New Roman"/>
          <w:color w:val="000000"/>
          <w:sz w:val="24"/>
          <w:szCs w:val="24"/>
          <w:lang w:val="en-GB" w:eastAsia="ja-JP"/>
        </w:rPr>
        <w:t>K. Ueno</w:t>
      </w:r>
      <w:r>
        <w:rPr>
          <w:rFonts w:cs="Times New Roman" w:ascii="Times New Roman" w:hAnsi="Times New Roman"/>
          <w:lang w:val="en-GB"/>
        </w:rPr>
        <w:t xml:space="preserve">, </w:t>
      </w:r>
      <w:r>
        <w:rPr>
          <w:rFonts w:eastAsia="MS Mincho" w:cs="Times New Roman" w:ascii="Times New Roman" w:hAnsi="Times New Roman"/>
          <w:color w:val="000000"/>
          <w:sz w:val="24"/>
          <w:szCs w:val="24"/>
          <w:lang w:val="en-GB" w:eastAsia="ja-JP"/>
        </w:rPr>
        <w:t>J. Murai</w:t>
      </w:r>
      <w:r>
        <w:rPr>
          <w:rFonts w:cs="Times New Roman" w:ascii="Times New Roman" w:hAnsi="Times New Roman"/>
          <w:lang w:val="en-GB"/>
        </w:rPr>
        <w:t xml:space="preserve">, </w:t>
      </w:r>
      <w:r>
        <w:rPr>
          <w:rFonts w:cs="Times New Roman" w:ascii="Times New Roman" w:hAnsi="Times New Roman"/>
          <w:lang w:val="en-GB"/>
        </w:rPr>
        <w:t>H. Moon, K. Dokko</w:t>
      </w:r>
      <w:r>
        <w:rPr>
          <w:rFonts w:cs="Times New Roman" w:ascii="Times New Roman" w:hAnsi="Times New Roman"/>
          <w:lang w:val="en-GB"/>
        </w:rPr>
        <w:t xml:space="preserve"> and </w:t>
      </w:r>
      <w:r>
        <w:rPr>
          <w:rFonts w:eastAsia="MS Mincho" w:cs="Times New Roman" w:ascii="Times New Roman" w:hAnsi="Times New Roman"/>
          <w:color w:val="000000"/>
          <w:sz w:val="24"/>
          <w:szCs w:val="24"/>
          <w:lang w:val="en-GB" w:eastAsia="ja-JP"/>
        </w:rPr>
        <w:t>M. Watanabe</w:t>
      </w:r>
      <w:r>
        <w:rPr>
          <w:rFonts w:cs="Times New Roman" w:ascii="Times New Roman" w:hAnsi="Times New Roman"/>
          <w:i/>
          <w:iCs/>
          <w:lang w:val="en-GB"/>
        </w:rPr>
        <w:t xml:space="preserve">, J. </w:t>
      </w:r>
      <w:r>
        <w:rPr>
          <w:rFonts w:cs="Times New Roman" w:ascii="Times New Roman" w:hAnsi="Times New Roman"/>
          <w:i/>
          <w:iCs/>
          <w:lang w:val="en-GB"/>
        </w:rPr>
        <w:t>Electrochem. Soc.</w:t>
      </w:r>
      <w:r>
        <w:rPr>
          <w:rFonts w:cs="Times New Roman" w:ascii="Times New Roman" w:hAnsi="Times New Roman"/>
          <w:lang w:val="en-GB"/>
        </w:rPr>
        <w:t xml:space="preserve">, </w:t>
      </w:r>
      <w:r>
        <w:rPr>
          <w:rFonts w:eastAsia="MS Mincho" w:cs="Times New Roman" w:ascii="Times New Roman" w:hAnsi="Times New Roman"/>
          <w:b/>
          <w:bCs/>
          <w:color w:val="000000"/>
          <w:sz w:val="24"/>
          <w:szCs w:val="24"/>
          <w:lang w:val="en-GB" w:eastAsia="ja-JP"/>
        </w:rPr>
        <w:t>164</w:t>
      </w:r>
      <w:r>
        <w:rPr>
          <w:rFonts w:cs="Times New Roman" w:ascii="Times New Roman" w:hAnsi="Times New Roman"/>
          <w:lang w:val="en-GB"/>
        </w:rPr>
        <w:t xml:space="preserve">, </w:t>
      </w:r>
      <w:r>
        <w:rPr>
          <w:rFonts w:eastAsia="MS Mincho" w:cs="Times New Roman" w:ascii="Times New Roman" w:hAnsi="Times New Roman"/>
          <w:color w:val="000000"/>
          <w:sz w:val="24"/>
          <w:szCs w:val="24"/>
          <w:lang w:val="en-GB" w:eastAsia="ja-JP"/>
        </w:rPr>
        <w:t>A6088</w:t>
      </w:r>
      <w:r>
        <w:rPr>
          <w:rFonts w:cs="Times New Roman" w:ascii="Times New Roman" w:hAnsi="Times New Roman"/>
          <w:lang w:val="en-GB"/>
        </w:rPr>
        <w:t xml:space="preserve"> (</w:t>
      </w:r>
      <w:r>
        <w:rPr>
          <w:rFonts w:eastAsia="MS Mincho" w:cs="Times New Roman" w:ascii="Times New Roman" w:hAnsi="Times New Roman"/>
          <w:color w:val="000000"/>
          <w:sz w:val="24"/>
          <w:szCs w:val="24"/>
          <w:lang w:val="en-GB" w:eastAsia="ja-JP"/>
        </w:rPr>
        <w:t>2016</w:t>
      </w:r>
      <w:r>
        <w:rPr>
          <w:rFonts w:cs="Times New Roman" w:ascii="Times New Roman" w:hAnsi="Times New Roman"/>
          <w:lang w:val="en-GB"/>
        </w:rPr>
        <w:t>).</w:t>
      </w:r>
    </w:p>
    <w:p>
      <w:pPr>
        <w:pStyle w:val="Normal"/>
        <w:ind w:left="426" w:right="-2" w:hanging="426"/>
        <w:jc w:val="left"/>
        <w:rPr>
          <w:rFonts w:ascii="Times New Roman" w:hAnsi="Times New Roman" w:cs="Times New Roman"/>
          <w:lang w:val="en-GB"/>
        </w:rPr>
      </w:pPr>
      <w:r>
        <w:rPr>
          <w:rFonts w:cs="Times New Roman" w:ascii="Times New Roman" w:hAnsi="Times New Roman"/>
          <w:lang w:val="en-GB"/>
        </w:rPr>
        <w:t>[2]</w:t>
        <w:tab/>
      </w:r>
      <w:r>
        <w:rPr>
          <w:rFonts w:eastAsia="MS Mincho" w:cs="Times New Roman" w:ascii="Times New Roman" w:hAnsi="Times New Roman"/>
          <w:color w:val="000000"/>
          <w:sz w:val="24"/>
          <w:szCs w:val="24"/>
          <w:lang w:val="en-GB" w:eastAsia="ja-JP"/>
        </w:rPr>
        <w:t>J. K. Philipp</w:t>
      </w:r>
      <w:r>
        <w:rPr>
          <w:rFonts w:cs="Times New Roman" w:ascii="Times New Roman" w:hAnsi="Times New Roman"/>
          <w:lang w:val="en-GB"/>
        </w:rPr>
        <w:t xml:space="preserve">, </w:t>
      </w:r>
      <w:r>
        <w:rPr>
          <w:rFonts w:cs="Times New Roman" w:ascii="Times New Roman" w:hAnsi="Times New Roman"/>
          <w:lang w:val="en-GB"/>
        </w:rPr>
        <w:t xml:space="preserve">D. Paschek, L. Kruse, A.-E. Surkus, B. Austrup, M. Schönhoff, R. Ludwig, </w:t>
      </w:r>
      <w:r>
        <w:rPr>
          <w:rFonts w:cs="Times New Roman" w:ascii="Times New Roman" w:hAnsi="Times New Roman"/>
          <w:i/>
          <w:iCs/>
          <w:lang w:val="en-GB"/>
        </w:rPr>
        <w:t>ChemPhysChem</w:t>
      </w:r>
      <w:r>
        <w:rPr>
          <w:rFonts w:cs="Times New Roman" w:ascii="Times New Roman" w:hAnsi="Times New Roman"/>
          <w:lang w:val="en-GB"/>
        </w:rPr>
        <w:t>, e70353 (2026, in print).</w:t>
      </w:r>
    </w:p>
    <w:p>
      <w:pPr>
        <w:pStyle w:val="Normal"/>
        <w:ind w:left="426" w:right="-2" w:hanging="426"/>
        <w:jc w:val="left"/>
        <w:rPr>
          <w:rFonts w:ascii="Times New Roman" w:hAnsi="Times New Roman" w:cs="Times New Roman"/>
          <w:lang w:val="en-GB"/>
        </w:rPr>
      </w:pPr>
      <w:r>
        <w:rPr>
          <w:rFonts w:cs="Times New Roman" w:ascii="Times New Roman" w:hAnsi="Times New Roman"/>
          <w:lang w:val="en-GB"/>
        </w:rPr>
        <w:t>[3]</w:t>
        <w:tab/>
      </w:r>
      <w:r>
        <w:rPr>
          <w:rFonts w:eastAsia="MS Mincho" w:cs="Times New Roman" w:ascii="Times New Roman" w:hAnsi="Times New Roman"/>
          <w:color w:val="000000"/>
          <w:sz w:val="24"/>
          <w:szCs w:val="24"/>
          <w:lang w:val="en-GB" w:eastAsia="ja-JP"/>
        </w:rPr>
        <w:t xml:space="preserve">J. K. Philipp, A. Strate, F. M. Januszewski, L. Möhring, L. Kruse, M. Bühl, D. Paschek, R. Ludwig, </w:t>
      </w:r>
      <w:r>
        <w:rPr>
          <w:rFonts w:eastAsia="MS Mincho" w:cs="Times New Roman" w:ascii="Times New Roman" w:hAnsi="Times New Roman"/>
          <w:i/>
          <w:iCs/>
          <w:color w:val="000000"/>
          <w:sz w:val="24"/>
          <w:szCs w:val="24"/>
          <w:lang w:val="en-GB" w:eastAsia="ja-JP"/>
        </w:rPr>
        <w:t>J. Phys. Chem. B</w:t>
      </w:r>
      <w:r>
        <w:rPr>
          <w:rFonts w:eastAsia="MS Mincho" w:cs="Times New Roman" w:ascii="Times New Roman" w:hAnsi="Times New Roman"/>
          <w:color w:val="000000"/>
          <w:sz w:val="24"/>
          <w:szCs w:val="24"/>
          <w:lang w:val="en-GB" w:eastAsia="ja-JP"/>
        </w:rPr>
        <w:t xml:space="preserve"> (2026, </w:t>
      </w:r>
      <w:r>
        <w:rPr>
          <w:rFonts w:eastAsia="MS Mincho" w:cs="Times New Roman" w:ascii="Times New Roman" w:hAnsi="Times New Roman"/>
          <w:color w:val="000000"/>
          <w:sz w:val="24"/>
          <w:szCs w:val="24"/>
          <w:lang w:val="en-GB" w:eastAsia="ja-JP"/>
        </w:rPr>
        <w:t>submitted).</w:t>
      </w:r>
    </w:p>
    <w:p>
      <w:pPr>
        <w:pStyle w:val="Normal"/>
        <w:ind w:left="426" w:right="-2" w:hanging="426"/>
        <w:jc w:val="left"/>
        <w:rPr>
          <w:rFonts w:ascii="Times New Roman" w:hAnsi="Times New Roman" w:cs="Times New Roman"/>
          <w:color w:val="auto"/>
          <w:lang w:val="en-GB"/>
        </w:rPr>
      </w:pPr>
      <w:r>
        <w:rPr/>
      </w:r>
    </w:p>
    <w:sectPr>
      <w:headerReference w:type="first" r:id="rId2"/>
      <w:type w:val="nextPage"/>
      <w:pgSz w:w="11906" w:h="16838"/>
      <w:pgMar w:left="1134" w:right="1134" w:header="454" w:top="454" w:footer="0" w:bottom="1134" w:gutter="0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Palatino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>
        <w:rFonts w:ascii="Calibri" w:hAnsi="Calibri" w:cs="Times New Roman" w:asciiTheme="minorHAnsi" w:hAnsiTheme="minorHAnsi"/>
        <w:b/>
        <w:b/>
        <w:color w:val="7F7F7F" w:themeColor="text1" w:themeTint="80"/>
        <w:sz w:val="20"/>
        <w:szCs w:val="22"/>
      </w:rPr>
    </w:pPr>
    <w:r>
      <w:rPr>
        <w:rFonts w:cs="Times New Roman" w:ascii="Calibri" w:hAnsi="Calibri" w:asciiTheme="minorHAnsi" w:hAnsiTheme="minorHAnsi"/>
        <w:b/>
        <w:color w:val="7F7F7F" w:themeColor="text1" w:themeTint="80"/>
        <w:sz w:val="20"/>
        <w:szCs w:val="22"/>
      </w:rPr>
      <w:t>European Molecular Liquids Group and Japanese Molecular Liquids Group Annual Meeting (EMLG/JMLG 2026)</w:t>
    </w:r>
  </w:p>
  <w:p>
    <w:pPr>
      <w:pStyle w:val="Header"/>
      <w:tabs>
        <w:tab w:val="clear" w:pos="4320"/>
        <w:tab w:val="right" w:pos="8640" w:leader="none"/>
      </w:tabs>
      <w:jc w:val="center"/>
      <w:rPr>
        <w:rFonts w:ascii="Calibri" w:hAnsi="Calibri" w:cs="Times New Roman" w:asciiTheme="minorHAnsi" w:hAnsiTheme="minorHAnsi"/>
        <w:b/>
        <w:b/>
        <w:color w:val="7F7F7F" w:themeColor="text1" w:themeTint="80"/>
        <w:sz w:val="20"/>
        <w:szCs w:val="22"/>
      </w:rPr>
    </w:pPr>
    <w:r>
      <w:rPr>
        <w:rFonts w:cs="Times New Roman" w:ascii="Calibri" w:hAnsi="Calibri" w:asciiTheme="minorHAnsi" w:hAnsiTheme="minorHAnsi"/>
        <w:b/>
        <w:color w:val="7F7F7F" w:themeColor="text1" w:themeTint="80"/>
        <w:sz w:val="20"/>
        <w:szCs w:val="22"/>
      </w:rPr>
      <w:t>Glasgow (UK), 31</w:t>
    </w:r>
    <w:r>
      <w:rPr>
        <w:rFonts w:cs="Times New Roman" w:ascii="Calibri" w:hAnsi="Calibri" w:asciiTheme="minorHAnsi" w:hAnsiTheme="minorHAnsi"/>
        <w:b/>
        <w:color w:val="7F7F7F" w:themeColor="text1" w:themeTint="80"/>
        <w:sz w:val="20"/>
        <w:szCs w:val="22"/>
        <w:vertAlign w:val="superscript"/>
      </w:rPr>
      <w:t>th</w:t>
    </w:r>
    <w:r>
      <w:rPr>
        <w:rFonts w:cs="Times New Roman" w:ascii="Calibri" w:hAnsi="Calibri" w:asciiTheme="minorHAnsi" w:hAnsiTheme="minorHAnsi"/>
        <w:b/>
        <w:color w:val="7F7F7F" w:themeColor="text1" w:themeTint="80"/>
        <w:sz w:val="20"/>
        <w:szCs w:val="22"/>
      </w:rPr>
      <w:t xml:space="preserve"> August – 4</w:t>
    </w:r>
    <w:r>
      <w:rPr>
        <w:rFonts w:cs="Times New Roman" w:ascii="Calibri" w:hAnsi="Calibri" w:asciiTheme="minorHAnsi" w:hAnsiTheme="minorHAnsi"/>
        <w:b/>
        <w:color w:val="7F7F7F" w:themeColor="text1" w:themeTint="80"/>
        <w:sz w:val="20"/>
        <w:szCs w:val="22"/>
        <w:vertAlign w:val="superscript"/>
      </w:rPr>
      <w:t>th</w:t>
    </w:r>
    <w:r>
      <w:rPr>
        <w:rFonts w:cs="Times New Roman" w:ascii="Calibri" w:hAnsi="Calibri" w:asciiTheme="minorHAnsi" w:hAnsiTheme="minorHAnsi"/>
        <w:b/>
        <w:color w:val="7F7F7F" w:themeColor="text1" w:themeTint="80"/>
        <w:sz w:val="20"/>
        <w:szCs w:val="22"/>
      </w:rPr>
      <w:t xml:space="preserve"> September, 2026</w:t>
    </w:r>
  </w:p>
</w:hdr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doNotHyphenateCap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Palatino" w:hAnsi="Palatino" w:eastAsia="MS Mincho" w:cs="Palatino"/>
      <w:color w:val="000000"/>
      <w:kern w:val="0"/>
      <w:sz w:val="24"/>
      <w:szCs w:val="24"/>
      <w:lang w:val="en-US" w:eastAsia="ja-JP" w:bidi="ar-SA"/>
    </w:rPr>
  </w:style>
  <w:style w:type="character" w:styleId="DefaultParagraphFont" w:default="1">
    <w:name w:val="Default Paragraph Font"/>
    <w:uiPriority w:val="1"/>
    <w:semiHidden/>
    <w:qFormat/>
    <w:rPr/>
  </w:style>
  <w:style w:type="character" w:styleId="InternetLink">
    <w:name w:val="Hyperlink"/>
    <w:basedOn w:val="DefaultParagraphFont"/>
    <w:uiPriority w:val="99"/>
    <w:rPr>
      <w:rFonts w:ascii="Times New Roman" w:hAnsi="Times New Roman" w:cs="Times New Roman"/>
      <w:color w:val="0000FF"/>
      <w:u w:val="single"/>
    </w:rPr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locked/>
    <w:rPr>
      <w:rFonts w:ascii="Palatino" w:hAnsi="Palatino" w:eastAsia="MS Mincho" w:cs="Palatino"/>
      <w:color w:val="000000"/>
      <w:sz w:val="24"/>
      <w:szCs w:val="24"/>
      <w:lang w:val="en-US" w:eastAsia="ja-JP"/>
    </w:rPr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locked/>
    <w:rPr>
      <w:rFonts w:ascii="Courier New" w:hAnsi="Courier New" w:eastAsia="MS Mincho" w:cs="Courier New"/>
      <w:color w:val="000000"/>
      <w:lang w:val="en-US" w:eastAsia="ja-JP"/>
    </w:r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qFormat/>
    <w:locked/>
    <w:rPr>
      <w:rFonts w:ascii="Palatino" w:hAnsi="Palatino" w:eastAsia="MS Mincho" w:cs="Palatino"/>
      <w:color w:val="000000"/>
      <w:sz w:val="24"/>
      <w:szCs w:val="24"/>
      <w:lang w:val="en-US" w:eastAsia="ja-JP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locked/>
    <w:rPr>
      <w:rFonts w:ascii="Palatino" w:hAnsi="Palatino" w:eastAsia="MS Mincho" w:cs="Palatino"/>
      <w:color w:val="000000"/>
      <w:sz w:val="16"/>
      <w:szCs w:val="16"/>
      <w:lang w:val="en-US" w:eastAsia="ja-JP"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locked/>
    <w:rPr>
      <w:rFonts w:ascii="Palatino" w:hAnsi="Palatino" w:eastAsia="MS Mincho" w:cs="Palatino"/>
      <w:color w:val="000000"/>
      <w:sz w:val="24"/>
      <w:szCs w:val="24"/>
      <w:lang w:val="en-US" w:eastAsia="ja-JP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locked/>
    <w:rPr>
      <w:rFonts w:ascii="Palatino" w:hAnsi="Palatino" w:eastAsia="MS Mincho" w:cs="Palatino"/>
      <w:color w:val="000000"/>
      <w:sz w:val="24"/>
      <w:szCs w:val="24"/>
      <w:lang w:val="en-US" w:eastAsia="ja-JP"/>
    </w:rPr>
  </w:style>
  <w:style w:type="character" w:styleId="Pagenumber">
    <w:name w:val="page number"/>
    <w:basedOn w:val="DefaultParagraphFont"/>
    <w:uiPriority w:val="99"/>
    <w:qFormat/>
    <w:rsid w:val="00e4528e"/>
    <w:rPr>
      <w:rFonts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74257"/>
    <w:rPr>
      <w:rFonts w:cs="Times New Roman"/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Text2">
    <w:name w:val="Body Text 2"/>
    <w:basedOn w:val="Normal"/>
    <w:link w:val="BodyText2Char"/>
    <w:uiPriority w:val="99"/>
    <w:qFormat/>
    <w:pPr>
      <w:ind w:firstLine="284"/>
    </w:pPr>
    <w:rPr>
      <w:sz w:val="22"/>
      <w:szCs w:val="22"/>
    </w:rPr>
  </w:style>
  <w:style w:type="paragraph" w:styleId="PlainText">
    <w:name w:val="Plain Text"/>
    <w:basedOn w:val="Normal"/>
    <w:link w:val="PlainTextChar"/>
    <w:uiPriority w:val="99"/>
    <w:qFormat/>
    <w:pPr>
      <w:jc w:val="left"/>
    </w:pPr>
    <w:rPr>
      <w:rFonts w:ascii="Courier New" w:hAnsi="Courier New" w:cs="Courier New"/>
      <w:color w:val="auto"/>
      <w:sz w:val="20"/>
      <w:szCs w:val="20"/>
    </w:rPr>
  </w:style>
  <w:style w:type="paragraph" w:styleId="BodyTextIndent2">
    <w:name w:val="Body Text Indent 2"/>
    <w:basedOn w:val="Normal"/>
    <w:link w:val="BodyTextIndent2Char"/>
    <w:uiPriority w:val="99"/>
    <w:qFormat/>
    <w:pPr>
      <w:ind w:firstLine="284"/>
      <w:jc w:val="left"/>
    </w:pPr>
    <w:rPr>
      <w:b/>
      <w:bCs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qFormat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e4528e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rsid w:val="00e4528e"/>
    <w:pPr>
      <w:tabs>
        <w:tab w:val="clear" w:pos="708"/>
        <w:tab w:val="center" w:pos="4320" w:leader="none"/>
        <w:tab w:val="right" w:pos="864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LibreOffice/6.4.7.2$Linux_X86_64 LibreOffice_project/40$Build-2</Application>
  <Pages>1</Pages>
  <Words>377</Words>
  <Characters>2455</Characters>
  <CharactersWithSpaces>2818</CharactersWithSpaces>
  <Paragraphs>14</Paragraphs>
  <Company>ICPM-6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2026-01-08T10:24:00Z</dcterms:created>
  <dc:creator>ICPM-6</dc:creator>
  <dc:description/>
  <dc:language>en-US</dc:language>
  <cp:lastModifiedBy/>
  <cp:lastPrinted>2016-01-14T19:34:00Z</cp:lastPrinted>
  <dcterms:modified xsi:type="dcterms:W3CDTF">2026-04-08T15:25:35Z</dcterms:modified>
  <cp:revision>3</cp:revision>
  <dc:subject/>
  <dc:title>Abstract Template for 6th International Conference 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ICPM-6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