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8EDA7FE" w14:textId="3F369D1C" w:rsidR="00455BDA" w:rsidRPr="00414C25" w:rsidRDefault="002E1293" w:rsidP="005C305C">
      <w:pPr>
        <w:jc w:val="center"/>
        <w:rPr>
          <w:rFonts w:ascii="Times New Roman" w:hAnsi="Times New Roman" w:cs="Times New Roman"/>
          <w:sz w:val="32"/>
          <w:szCs w:val="32"/>
          <w:lang w:val="en-GB"/>
        </w:rPr>
      </w:pPr>
      <w:r w:rsidRPr="002E1293">
        <w:rPr>
          <w:rFonts w:ascii="Times New Roman" w:hAnsi="Times New Roman" w:cs="Times New Roman"/>
          <w:b/>
          <w:bCs/>
          <w:sz w:val="32"/>
          <w:szCs w:val="32"/>
          <w:lang w:val="en-GB"/>
        </w:rPr>
        <w:t xml:space="preserve">Resolving Oligomeric Anions in Carboxylic Acid–Carboxylate Systems: </w:t>
      </w:r>
      <w:r>
        <w:rPr>
          <w:rFonts w:ascii="Times New Roman" w:hAnsi="Times New Roman" w:cs="Times New Roman"/>
          <w:b/>
          <w:bCs/>
          <w:sz w:val="32"/>
          <w:szCs w:val="32"/>
          <w:lang w:val="en-GB"/>
        </w:rPr>
        <w:t>the case of</w:t>
      </w:r>
      <w:r w:rsidRPr="002E1293">
        <w:rPr>
          <w:rFonts w:ascii="Times New Roman" w:hAnsi="Times New Roman" w:cs="Times New Roman"/>
          <w:b/>
          <w:bCs/>
          <w:sz w:val="32"/>
          <w:szCs w:val="32"/>
          <w:lang w:val="en-GB"/>
        </w:rPr>
        <w:t xml:space="preserve"> Choline–Geranate</w:t>
      </w:r>
    </w:p>
    <w:p w14:paraId="7052708B" w14:textId="77777777" w:rsidR="00455BDA" w:rsidRPr="00414C25" w:rsidRDefault="00455BDA">
      <w:pPr>
        <w:jc w:val="center"/>
        <w:rPr>
          <w:rFonts w:ascii="Times New Roman" w:hAnsi="Times New Roman" w:cs="Times New Roman"/>
          <w:sz w:val="20"/>
          <w:szCs w:val="20"/>
          <w:lang w:val="en-GB"/>
        </w:rPr>
      </w:pPr>
    </w:p>
    <w:p w14:paraId="25B48A52" w14:textId="4237A3B4" w:rsidR="00455BDA" w:rsidRPr="00414C25" w:rsidRDefault="00455BDA">
      <w:pPr>
        <w:jc w:val="center"/>
        <w:rPr>
          <w:rFonts w:ascii="Times New Roman" w:hAnsi="Times New Roman" w:cs="Times New Roman"/>
          <w:b/>
          <w:bCs/>
          <w:lang w:val="en-GB"/>
        </w:rPr>
      </w:pPr>
      <w:r w:rsidRPr="00414C25">
        <w:rPr>
          <w:rFonts w:ascii="Times New Roman" w:hAnsi="Times New Roman" w:cs="Times New Roman"/>
          <w:b/>
          <w:bCs/>
          <w:lang w:val="en-GB"/>
        </w:rPr>
        <w:t xml:space="preserve"> </w:t>
      </w:r>
      <w:r w:rsidR="002E1293">
        <w:rPr>
          <w:rFonts w:ascii="Times New Roman" w:hAnsi="Times New Roman" w:cs="Times New Roman"/>
          <w:b/>
          <w:bCs/>
          <w:u w:val="single"/>
          <w:lang w:val="en-GB"/>
        </w:rPr>
        <w:t xml:space="preserve">E.Rezabal </w:t>
      </w:r>
      <w:r w:rsidR="004B6472" w:rsidRPr="006A41DD">
        <w:rPr>
          <w:rFonts w:ascii="Times New Roman" w:hAnsi="Times New Roman" w:cs="Times New Roman"/>
          <w:b/>
          <w:bCs/>
          <w:u w:val="single"/>
          <w:vertAlign w:val="superscript"/>
          <w:lang w:val="en-GB"/>
        </w:rPr>
        <w:t>2</w:t>
      </w:r>
      <w:r w:rsidRPr="00414C25">
        <w:rPr>
          <w:rFonts w:ascii="Times New Roman" w:hAnsi="Times New Roman" w:cs="Times New Roman"/>
          <w:b/>
          <w:bCs/>
          <w:lang w:val="en-GB"/>
        </w:rPr>
        <w:t xml:space="preserve"> </w:t>
      </w:r>
    </w:p>
    <w:p w14:paraId="1A2B2F27" w14:textId="6B900D1D" w:rsidR="005B2556" w:rsidRPr="007C5B23" w:rsidRDefault="005B2556" w:rsidP="002E1293">
      <w:pPr>
        <w:rPr>
          <w:rFonts w:ascii="Times New Roman" w:hAnsi="Times New Roman" w:cs="Times New Roman"/>
          <w:sz w:val="22"/>
          <w:szCs w:val="22"/>
          <w:u w:val="single"/>
          <w:lang w:val="en-GB"/>
        </w:rPr>
      </w:pPr>
    </w:p>
    <w:p w14:paraId="05BCA9F6" w14:textId="51C1ABDB" w:rsidR="00455BDA" w:rsidRPr="00414C25" w:rsidRDefault="00455BDA">
      <w:pPr>
        <w:jc w:val="center"/>
        <w:rPr>
          <w:rFonts w:ascii="Times New Roman" w:hAnsi="Times New Roman" w:cs="Times New Roman"/>
          <w:sz w:val="22"/>
          <w:szCs w:val="22"/>
          <w:lang w:val="en-GB"/>
        </w:rPr>
      </w:pPr>
      <w:r w:rsidRPr="00414C25">
        <w:rPr>
          <w:rFonts w:ascii="Times New Roman" w:hAnsi="Times New Roman" w:cs="Times New Roman"/>
          <w:sz w:val="22"/>
          <w:szCs w:val="22"/>
          <w:vertAlign w:val="superscript"/>
          <w:lang w:val="en-GB"/>
        </w:rPr>
        <w:t>1</w:t>
      </w:r>
      <w:r w:rsidR="002E1293" w:rsidRPr="002E1293">
        <w:rPr>
          <w:rFonts w:ascii="Times New Roman" w:hAnsi="Times New Roman" w:cs="Times New Roman"/>
          <w:sz w:val="22"/>
          <w:szCs w:val="22"/>
          <w:lang w:val="en-GB"/>
        </w:rPr>
        <w:t xml:space="preserve">Kimika Fakultatea, University of the Basque Country (EHU/UPV) 20018 Donostia, Spain </w:t>
      </w:r>
    </w:p>
    <w:p w14:paraId="31D0FE16" w14:textId="5912A314" w:rsidR="00455BDA" w:rsidRPr="00414C25" w:rsidRDefault="00455BDA">
      <w:pPr>
        <w:jc w:val="center"/>
        <w:rPr>
          <w:rFonts w:ascii="Times New Roman" w:hAnsi="Times New Roman" w:cs="Times New Roman"/>
          <w:sz w:val="22"/>
          <w:szCs w:val="22"/>
          <w:lang w:val="en-GB"/>
        </w:rPr>
      </w:pPr>
      <w:r w:rsidRPr="00414C25">
        <w:rPr>
          <w:rFonts w:ascii="Times New Roman" w:hAnsi="Times New Roman" w:cs="Times New Roman"/>
          <w:sz w:val="22"/>
          <w:szCs w:val="22"/>
          <w:vertAlign w:val="superscript"/>
          <w:lang w:val="en-GB"/>
        </w:rPr>
        <w:t>2</w:t>
      </w:r>
      <w:r w:rsidR="002E1293" w:rsidRPr="002E1293">
        <w:rPr>
          <w:rFonts w:ascii="Times New Roman" w:hAnsi="Times New Roman" w:cs="Times New Roman"/>
          <w:sz w:val="22"/>
          <w:szCs w:val="22"/>
          <w:lang w:val="en-GB"/>
        </w:rPr>
        <w:t>Donostia International Physics Center, 20018 Donostia, Spain</w:t>
      </w:r>
    </w:p>
    <w:p w14:paraId="39B062EA" w14:textId="5D80D07E" w:rsidR="0085659C" w:rsidRDefault="0085659C">
      <w:pPr>
        <w:jc w:val="center"/>
        <w:rPr>
          <w:rFonts w:ascii="Times New Roman" w:hAnsi="Times New Roman" w:cs="Times New Roman"/>
          <w:sz w:val="22"/>
          <w:szCs w:val="22"/>
          <w:lang w:val="en-GB"/>
        </w:rPr>
      </w:pPr>
      <w:r w:rsidRPr="00414C25">
        <w:rPr>
          <w:rFonts w:ascii="Times New Roman" w:hAnsi="Times New Roman" w:cs="Times New Roman"/>
          <w:sz w:val="22"/>
          <w:szCs w:val="22"/>
          <w:lang w:val="en-GB"/>
        </w:rPr>
        <w:t xml:space="preserve">e-mail: </w:t>
      </w:r>
      <w:r w:rsidR="002E1293">
        <w:rPr>
          <w:rFonts w:ascii="Times New Roman" w:hAnsi="Times New Roman" w:cs="Times New Roman"/>
          <w:sz w:val="22"/>
          <w:szCs w:val="22"/>
          <w:lang w:val="en-GB"/>
        </w:rPr>
        <w:t>elixabete.rezabal</w:t>
      </w:r>
      <w:r w:rsidRPr="00414C25">
        <w:rPr>
          <w:rFonts w:ascii="Times New Roman" w:hAnsi="Times New Roman" w:cs="Times New Roman"/>
          <w:sz w:val="22"/>
          <w:szCs w:val="22"/>
          <w:lang w:val="en-GB"/>
        </w:rPr>
        <w:t>@</w:t>
      </w:r>
      <w:r w:rsidR="002E1293">
        <w:rPr>
          <w:rFonts w:ascii="Times New Roman" w:hAnsi="Times New Roman" w:cs="Times New Roman"/>
          <w:sz w:val="22"/>
          <w:szCs w:val="22"/>
          <w:lang w:val="en-GB"/>
        </w:rPr>
        <w:t>ehu.eus</w:t>
      </w:r>
      <w:r w:rsidRPr="00414C25">
        <w:rPr>
          <w:rFonts w:ascii="Times New Roman" w:hAnsi="Times New Roman" w:cs="Times New Roman"/>
          <w:sz w:val="22"/>
          <w:szCs w:val="22"/>
          <w:lang w:val="en-GB"/>
        </w:rPr>
        <w:t xml:space="preserve"> </w:t>
      </w:r>
    </w:p>
    <w:p w14:paraId="3ECF8B71" w14:textId="77777777" w:rsidR="00455BDA" w:rsidRPr="00414C25" w:rsidRDefault="00455BDA">
      <w:pPr>
        <w:rPr>
          <w:rFonts w:ascii="Times New Roman" w:hAnsi="Times New Roman" w:cs="Times New Roman"/>
          <w:lang w:val="en-GB"/>
        </w:rPr>
      </w:pPr>
    </w:p>
    <w:p w14:paraId="27C1743B" w14:textId="18A1CF57" w:rsidR="002E1293" w:rsidRPr="002E1293" w:rsidRDefault="002E1293" w:rsidP="002E1293">
      <w:pPr>
        <w:autoSpaceDE/>
        <w:autoSpaceDN/>
        <w:jc w:val="left"/>
        <w:rPr>
          <w:rFonts w:ascii="Times New Roman" w:hAnsi="Times New Roman" w:cs="Times New Roman"/>
          <w:lang w:val="en-GB"/>
        </w:rPr>
      </w:pPr>
      <w:r w:rsidRPr="002E1293">
        <w:rPr>
          <w:rFonts w:ascii="Times New Roman" w:hAnsi="Times New Roman" w:cs="Times New Roman"/>
          <w:lang w:val="en-GB"/>
        </w:rPr>
        <w:t>Carboxylic acid/carboxylate mixtures in ionic liquids are frequently proposed to form oligomeric anionic species stabilized by hydrogen bonding, although the protonation state within these aggregates—ranging from localized to dynamically exchanging or symmetrically shared protons—often remains difficult to determine experimentally. One prominent example is choline–geranic acid at a 1:2 ratio (CAGE12), which has attracted considerable attention due to its outstanding therapeutic performance in drug delivery and drug activation, particularly in transdermal and anticancer applications</w:t>
      </w:r>
      <w:r>
        <w:rPr>
          <w:rFonts w:ascii="Times New Roman" w:hAnsi="Times New Roman" w:cs="Times New Roman"/>
          <w:lang w:val="en-GB"/>
        </w:rPr>
        <w:t xml:space="preserve"> [1</w:t>
      </w:r>
      <w:r w:rsidR="00511774">
        <w:rPr>
          <w:rFonts w:ascii="Times New Roman" w:hAnsi="Times New Roman" w:cs="Times New Roman"/>
          <w:lang w:val="en-GB"/>
        </w:rPr>
        <w:t>,2</w:t>
      </w:r>
      <w:r>
        <w:rPr>
          <w:rFonts w:ascii="Times New Roman" w:hAnsi="Times New Roman" w:cs="Times New Roman"/>
          <w:lang w:val="en-GB"/>
        </w:rPr>
        <w:t>]</w:t>
      </w:r>
      <w:r w:rsidRPr="002E1293">
        <w:rPr>
          <w:rFonts w:ascii="Times New Roman" w:hAnsi="Times New Roman" w:cs="Times New Roman"/>
          <w:lang w:val="en-GB"/>
        </w:rPr>
        <w:t>. In this system, NMR observations</w:t>
      </w:r>
      <w:r>
        <w:rPr>
          <w:rFonts w:ascii="Times New Roman" w:hAnsi="Times New Roman" w:cs="Times New Roman"/>
          <w:lang w:val="en-GB"/>
        </w:rPr>
        <w:t xml:space="preserve"> </w:t>
      </w:r>
      <w:r w:rsidR="00511774">
        <w:rPr>
          <w:rFonts w:ascii="Times New Roman" w:hAnsi="Times New Roman" w:cs="Times New Roman"/>
          <w:lang w:val="en-GB"/>
        </w:rPr>
        <w:t>[3]</w:t>
      </w:r>
      <w:r w:rsidRPr="002E1293">
        <w:rPr>
          <w:rFonts w:ascii="Times New Roman" w:hAnsi="Times New Roman" w:cs="Times New Roman"/>
          <w:lang w:val="en-GB"/>
        </w:rPr>
        <w:t xml:space="preserve"> indicating proton mobility have led to suggestions that oligomeric anionic motifs may be present; however, whether these correspond to long-lived complex anions or to dynamically fluctuating acid–carboxylate pairs remains unresolved.</w:t>
      </w:r>
    </w:p>
    <w:p w14:paraId="4394C40A" w14:textId="77777777" w:rsidR="002E1293" w:rsidRPr="002E1293" w:rsidRDefault="002E1293" w:rsidP="002E1293">
      <w:pPr>
        <w:autoSpaceDE/>
        <w:autoSpaceDN/>
        <w:jc w:val="left"/>
        <w:rPr>
          <w:rFonts w:ascii="Times New Roman" w:hAnsi="Times New Roman" w:cs="Times New Roman"/>
          <w:lang w:val="en-GB"/>
        </w:rPr>
      </w:pPr>
      <w:r w:rsidRPr="002E1293">
        <w:rPr>
          <w:rFonts w:ascii="Times New Roman" w:hAnsi="Times New Roman" w:cs="Times New Roman"/>
          <w:lang w:val="en-GB"/>
        </w:rPr>
        <w:t>Here we combine ATR–FTIR spectroscopy with ab initio and machine-learned force-field molecular dynamics simulations to elucidate the structure and proton dynamics of CAGE12. The simulations reveal a highly fluctuating hydrogen-bond network and provide key dynamical insight: although geranic acid (AGE) and geranate (GE) frequently form hydrogen-bonded contacts, these associations are short-lived and do not stabilize persistent oligomeric anions. Proton transfer between AGE and GE occurs intermittently, consistent with available NMR observations, and requires comparatively sustained hydrogen-bond configurations that are only occasionally achieved.</w:t>
      </w:r>
    </w:p>
    <w:p w14:paraId="3D318DD9" w14:textId="77777777" w:rsidR="002E1293" w:rsidRPr="002E1293" w:rsidRDefault="002E1293" w:rsidP="002E1293">
      <w:pPr>
        <w:autoSpaceDE/>
        <w:autoSpaceDN/>
        <w:jc w:val="left"/>
        <w:rPr>
          <w:rFonts w:ascii="Times New Roman" w:hAnsi="Times New Roman" w:cs="Times New Roman"/>
          <w:lang w:val="en-GB"/>
        </w:rPr>
      </w:pPr>
      <w:r w:rsidRPr="002E1293">
        <w:rPr>
          <w:rFonts w:ascii="Times New Roman" w:hAnsi="Times New Roman" w:cs="Times New Roman"/>
          <w:lang w:val="en-GB"/>
        </w:rPr>
        <w:t>The proton is thus not symmetrically shared but shuttles bet</w:t>
      </w:r>
      <w:bookmarkStart w:id="0" w:name="_GoBack"/>
      <w:bookmarkEnd w:id="0"/>
      <w:r w:rsidRPr="002E1293">
        <w:rPr>
          <w:rFonts w:ascii="Times New Roman" w:hAnsi="Times New Roman" w:cs="Times New Roman"/>
          <w:lang w:val="en-GB"/>
        </w:rPr>
        <w:t>ween distinct molecular species while preserving carboxylic and carboxylate chemical identities. In agreement with this picture, experimental and theoretical vibrational spectra display coexisting carboxylate and carboxylic acid signatures, with no spectral features characteristic of proton-shared oligomeric anions.</w:t>
      </w:r>
    </w:p>
    <w:p w14:paraId="3B253F20" w14:textId="311B8BFC" w:rsidR="006A41DD" w:rsidRPr="006A41DD" w:rsidRDefault="002E1293" w:rsidP="002E1293">
      <w:pPr>
        <w:autoSpaceDE/>
        <w:autoSpaceDN/>
        <w:jc w:val="left"/>
        <w:rPr>
          <w:rFonts w:ascii="Times New Roman" w:eastAsia="Times New Roman" w:hAnsi="Times New Roman" w:cs="Times New Roman"/>
          <w:color w:val="auto"/>
          <w:lang w:val="en-GB" w:eastAsia="en-GB"/>
        </w:rPr>
      </w:pPr>
      <w:r w:rsidRPr="002E1293">
        <w:rPr>
          <w:rFonts w:ascii="Times New Roman" w:hAnsi="Times New Roman" w:cs="Times New Roman"/>
          <w:lang w:val="en-GB"/>
        </w:rPr>
        <w:t>These results reconcile apparently conflicting spectroscopic interpretations and demonstrate that CAGE12 is governed by transient carboxylic/carboxylate pairing rather than long-lived complex anions. More broadly, this work shows how combining vibrational spectroscopy with machine-learned molecular dynamics enables direct resolution of proton dynamics and ion-pairing motifs in complex ionic liquids relevant to functional and biomedical applications.</w:t>
      </w:r>
    </w:p>
    <w:p w14:paraId="1EF376A2" w14:textId="77777777" w:rsidR="00455BDA" w:rsidRPr="00274257" w:rsidRDefault="00455BDA" w:rsidP="00274257">
      <w:pPr>
        <w:pStyle w:val="BodyText2"/>
        <w:jc w:val="left"/>
        <w:rPr>
          <w:rFonts w:ascii="Times New Roman" w:hAnsi="Times New Roman" w:cs="Times New Roman"/>
          <w:sz w:val="24"/>
          <w:szCs w:val="24"/>
          <w:lang w:val="en-GB"/>
        </w:rPr>
      </w:pPr>
    </w:p>
    <w:p w14:paraId="7D1AEDAE" w14:textId="77777777" w:rsidR="00455BDA" w:rsidRDefault="00455BDA" w:rsidP="00AF4C78">
      <w:pPr>
        <w:adjustRightInd w:val="0"/>
        <w:snapToGrid w:val="0"/>
        <w:ind w:firstLine="284"/>
        <w:jc w:val="left"/>
        <w:rPr>
          <w:rFonts w:ascii="Times New Roman" w:hAnsi="Times New Roman" w:cs="Times New Roman"/>
          <w:b/>
          <w:bCs/>
          <w:color w:val="auto"/>
          <w:lang w:val="en-GB"/>
        </w:rPr>
      </w:pPr>
    </w:p>
    <w:p w14:paraId="6264BDD6" w14:textId="77777777" w:rsidR="002D2CBB" w:rsidRPr="00414C25" w:rsidRDefault="002D2CBB" w:rsidP="00AF4C78">
      <w:pPr>
        <w:pStyle w:val="BodyText2"/>
        <w:jc w:val="left"/>
        <w:rPr>
          <w:rFonts w:ascii="Times New Roman" w:hAnsi="Times New Roman" w:cs="Times New Roman"/>
          <w:sz w:val="24"/>
          <w:szCs w:val="24"/>
          <w:lang w:val="en-GB"/>
        </w:rPr>
      </w:pPr>
    </w:p>
    <w:p w14:paraId="4DD3A763" w14:textId="77777777" w:rsidR="00455BDA" w:rsidRPr="006A41DD" w:rsidRDefault="00455BDA" w:rsidP="00AF4C78">
      <w:pPr>
        <w:jc w:val="left"/>
        <w:rPr>
          <w:rFonts w:ascii="Times New Roman" w:hAnsi="Times New Roman" w:cs="Times New Roman"/>
          <w:lang w:val="en-GB"/>
        </w:rPr>
      </w:pPr>
      <w:r w:rsidRPr="006A41DD">
        <w:rPr>
          <w:rFonts w:ascii="Times New Roman" w:hAnsi="Times New Roman" w:cs="Times New Roman"/>
          <w:b/>
          <w:bCs/>
          <w:lang w:val="en-GB"/>
        </w:rPr>
        <w:t>References</w:t>
      </w:r>
    </w:p>
    <w:p w14:paraId="7AD3EDC9" w14:textId="54BEE8D0" w:rsidR="00511774" w:rsidRDefault="00AD0CB5" w:rsidP="00AF4C78">
      <w:pPr>
        <w:ind w:left="426" w:right="-2" w:hanging="426"/>
        <w:jc w:val="left"/>
        <w:rPr>
          <w:rFonts w:ascii="Times New Roman" w:hAnsi="Times New Roman" w:cs="Times New Roman"/>
          <w:lang w:val="en-GB"/>
        </w:rPr>
      </w:pPr>
      <w:r w:rsidRPr="006A41DD">
        <w:rPr>
          <w:rFonts w:ascii="Times New Roman" w:hAnsi="Times New Roman" w:cs="Times New Roman"/>
          <w:lang w:val="en-GB"/>
        </w:rPr>
        <w:t>[1]</w:t>
      </w:r>
      <w:r w:rsidR="00511774" w:rsidRPr="00511774">
        <w:t xml:space="preserve"> </w:t>
      </w:r>
      <w:r w:rsidR="00511774" w:rsidRPr="00511774">
        <w:rPr>
          <w:rFonts w:ascii="Times New Roman" w:hAnsi="Times New Roman" w:cs="Times New Roman"/>
          <w:lang w:val="en-GB"/>
        </w:rPr>
        <w:t xml:space="preserve">Y. Shi, Z. Zhao, K. Peng, Y. Gao, D. Wu, J. Kim, S. Mitragotri </w:t>
      </w:r>
      <w:r w:rsidR="00511774" w:rsidRPr="00511774">
        <w:rPr>
          <w:rFonts w:ascii="Times New Roman" w:hAnsi="Times New Roman" w:cs="Times New Roman"/>
          <w:i/>
          <w:lang w:val="en-GB"/>
        </w:rPr>
        <w:t>Adv. Healthcare Mater.</w:t>
      </w:r>
      <w:r w:rsidR="00511774" w:rsidRPr="00511774">
        <w:rPr>
          <w:rFonts w:ascii="Times New Roman" w:hAnsi="Times New Roman" w:cs="Times New Roman"/>
          <w:lang w:val="en-GB"/>
        </w:rPr>
        <w:t xml:space="preserve"> </w:t>
      </w:r>
      <w:r w:rsidR="00511774" w:rsidRPr="00511774">
        <w:rPr>
          <w:rFonts w:ascii="Times New Roman" w:hAnsi="Times New Roman" w:cs="Times New Roman"/>
          <w:b/>
          <w:lang w:val="en-GB"/>
        </w:rPr>
        <w:t>10</w:t>
      </w:r>
      <w:r w:rsidR="00511774" w:rsidRPr="00511774">
        <w:rPr>
          <w:rFonts w:ascii="Times New Roman" w:hAnsi="Times New Roman" w:cs="Times New Roman"/>
          <w:lang w:val="en-GB"/>
        </w:rPr>
        <w:t>, 2001455 (2021) and references therein</w:t>
      </w:r>
      <w:r w:rsidRPr="006A41DD">
        <w:rPr>
          <w:rFonts w:ascii="Times New Roman" w:hAnsi="Times New Roman" w:cs="Times New Roman"/>
          <w:lang w:val="en-GB"/>
        </w:rPr>
        <w:tab/>
      </w:r>
    </w:p>
    <w:p w14:paraId="4BC96957" w14:textId="3BE1027A" w:rsidR="00AD0CB5" w:rsidRPr="006A41DD" w:rsidRDefault="00511774" w:rsidP="00AF4C78">
      <w:pPr>
        <w:ind w:left="426" w:right="-2" w:hanging="426"/>
        <w:jc w:val="left"/>
        <w:rPr>
          <w:rFonts w:ascii="Times New Roman" w:hAnsi="Times New Roman" w:cs="Times New Roman"/>
          <w:lang w:val="en-GB"/>
        </w:rPr>
      </w:pPr>
      <w:r w:rsidRPr="00511774">
        <w:rPr>
          <w:lang w:val="es-ES"/>
        </w:rPr>
        <w:t xml:space="preserve">[2] </w:t>
      </w:r>
      <w:r w:rsidR="002E1293" w:rsidRPr="00511774">
        <w:rPr>
          <w:lang w:val="es-ES"/>
        </w:rPr>
        <w:t xml:space="preserve">M. C. </w:t>
      </w:r>
      <w:r w:rsidR="002E1293" w:rsidRPr="00511774">
        <w:rPr>
          <w:rFonts w:ascii="Times New Roman" w:hAnsi="Times New Roman" w:cs="Times New Roman"/>
          <w:lang w:val="es-ES"/>
        </w:rPr>
        <w:t xml:space="preserve">Verdugo, E. Rezabal et al. </w:t>
      </w:r>
      <w:r w:rsidR="002E1293" w:rsidRPr="002E1293">
        <w:rPr>
          <w:rFonts w:ascii="Times New Roman" w:hAnsi="Times New Roman" w:cs="Times New Roman"/>
          <w:i/>
          <w:lang w:val="en-GB"/>
        </w:rPr>
        <w:t>Chemical Communications</w:t>
      </w:r>
      <w:r w:rsidR="002E1293" w:rsidRPr="002E1293">
        <w:rPr>
          <w:rFonts w:ascii="Times New Roman" w:hAnsi="Times New Roman" w:cs="Times New Roman"/>
          <w:lang w:val="en-GB"/>
        </w:rPr>
        <w:t xml:space="preserve">, </w:t>
      </w:r>
      <w:r w:rsidR="002E1293" w:rsidRPr="002E1293">
        <w:rPr>
          <w:rFonts w:ascii="Times New Roman" w:hAnsi="Times New Roman" w:cs="Times New Roman"/>
          <w:b/>
          <w:lang w:val="en-GB"/>
        </w:rPr>
        <w:t>61</w:t>
      </w:r>
      <w:r w:rsidR="002E1293" w:rsidRPr="002E1293">
        <w:rPr>
          <w:rFonts w:ascii="Times New Roman" w:hAnsi="Times New Roman" w:cs="Times New Roman"/>
          <w:lang w:val="en-GB"/>
        </w:rPr>
        <w:t>, 12167-12170</w:t>
      </w:r>
      <w:r w:rsidR="002E1293">
        <w:rPr>
          <w:rFonts w:ascii="Times New Roman" w:hAnsi="Times New Roman" w:cs="Times New Roman"/>
          <w:lang w:val="en-GB"/>
        </w:rPr>
        <w:t xml:space="preserve"> (2025)</w:t>
      </w:r>
      <w:r w:rsidR="002E1293" w:rsidRPr="002E1293">
        <w:rPr>
          <w:rFonts w:ascii="Times New Roman" w:hAnsi="Times New Roman" w:cs="Times New Roman"/>
          <w:lang w:val="en-GB"/>
        </w:rPr>
        <w:t>.</w:t>
      </w:r>
    </w:p>
    <w:p w14:paraId="08DB096C" w14:textId="196B32E8" w:rsidR="00AD0CB5" w:rsidRPr="006A41DD" w:rsidRDefault="00AD0CB5" w:rsidP="00AF4C78">
      <w:pPr>
        <w:ind w:left="426" w:right="-2" w:hanging="426"/>
        <w:jc w:val="left"/>
        <w:rPr>
          <w:rFonts w:ascii="Times New Roman" w:hAnsi="Times New Roman" w:cs="Times New Roman"/>
          <w:lang w:val="en-GB"/>
        </w:rPr>
      </w:pPr>
      <w:r w:rsidRPr="00511774">
        <w:rPr>
          <w:rFonts w:ascii="Times New Roman" w:hAnsi="Times New Roman" w:cs="Times New Roman"/>
          <w:lang w:val="en-GB"/>
        </w:rPr>
        <w:t>[</w:t>
      </w:r>
      <w:r w:rsidR="00511774">
        <w:rPr>
          <w:rFonts w:ascii="Times New Roman" w:hAnsi="Times New Roman" w:cs="Times New Roman"/>
          <w:lang w:val="en-GB"/>
        </w:rPr>
        <w:t>3</w:t>
      </w:r>
      <w:r w:rsidRPr="00511774">
        <w:rPr>
          <w:rFonts w:ascii="Times New Roman" w:hAnsi="Times New Roman" w:cs="Times New Roman"/>
          <w:lang w:val="en-GB"/>
        </w:rPr>
        <w:t>]</w:t>
      </w:r>
      <w:r w:rsidRPr="00511774">
        <w:rPr>
          <w:rFonts w:ascii="Times New Roman" w:hAnsi="Times New Roman" w:cs="Times New Roman"/>
          <w:lang w:val="en-GB"/>
        </w:rPr>
        <w:tab/>
      </w:r>
      <w:r w:rsidR="00511774" w:rsidRPr="00511774">
        <w:rPr>
          <w:rFonts w:ascii="Times New Roman" w:hAnsi="Times New Roman" w:cs="Times New Roman"/>
          <w:lang w:val="en-GB"/>
        </w:rPr>
        <w:t>J. Takeda et</w:t>
      </w:r>
      <w:r w:rsidR="00511774">
        <w:rPr>
          <w:rFonts w:ascii="Times New Roman" w:hAnsi="Times New Roman" w:cs="Times New Roman"/>
          <w:lang w:val="en-GB"/>
        </w:rPr>
        <w:t xml:space="preserve"> al</w:t>
      </w:r>
      <w:r w:rsidR="00511774" w:rsidRPr="00511774">
        <w:rPr>
          <w:rFonts w:ascii="Times New Roman" w:hAnsi="Times New Roman" w:cs="Times New Roman"/>
          <w:lang w:val="en-GB"/>
        </w:rPr>
        <w:t xml:space="preserve">. </w:t>
      </w:r>
      <w:r w:rsidR="00511774" w:rsidRPr="00511774">
        <w:rPr>
          <w:rFonts w:ascii="Times New Roman" w:hAnsi="Times New Roman" w:cs="Times New Roman"/>
          <w:i/>
          <w:lang w:val="en-GB"/>
        </w:rPr>
        <w:t>ACS Biomaterials Science &amp; Engineering</w:t>
      </w:r>
      <w:r w:rsidR="00511774" w:rsidRPr="00511774">
        <w:rPr>
          <w:rFonts w:ascii="Times New Roman" w:hAnsi="Times New Roman" w:cs="Times New Roman"/>
          <w:lang w:val="en-GB"/>
        </w:rPr>
        <w:t xml:space="preserve">, </w:t>
      </w:r>
      <w:r w:rsidR="00511774" w:rsidRPr="00511774">
        <w:rPr>
          <w:rFonts w:ascii="Times New Roman" w:hAnsi="Times New Roman" w:cs="Times New Roman"/>
          <w:b/>
          <w:lang w:val="en-GB"/>
        </w:rPr>
        <w:t>7</w:t>
      </w:r>
      <w:r w:rsidR="00511774" w:rsidRPr="00511774">
        <w:rPr>
          <w:rFonts w:ascii="Times New Roman" w:hAnsi="Times New Roman" w:cs="Times New Roman"/>
          <w:lang w:val="en-GB"/>
        </w:rPr>
        <w:t>, 595-604</w:t>
      </w:r>
      <w:r w:rsidR="00511774">
        <w:rPr>
          <w:rFonts w:ascii="Times New Roman" w:hAnsi="Times New Roman" w:cs="Times New Roman"/>
          <w:lang w:val="en-GB"/>
        </w:rPr>
        <w:t xml:space="preserve"> (2021)</w:t>
      </w:r>
      <w:r w:rsidR="00511774" w:rsidRPr="00511774">
        <w:rPr>
          <w:rFonts w:ascii="Times New Roman" w:hAnsi="Times New Roman" w:cs="Times New Roman"/>
          <w:lang w:val="en-GB"/>
        </w:rPr>
        <w:t>.</w:t>
      </w:r>
    </w:p>
    <w:p w14:paraId="1FABB8F6" w14:textId="77777777" w:rsidR="009B7FE3" w:rsidRPr="006A41DD" w:rsidRDefault="009B7FE3" w:rsidP="00AF4C78">
      <w:pPr>
        <w:ind w:left="426" w:right="-2" w:hanging="426"/>
        <w:jc w:val="left"/>
        <w:rPr>
          <w:rFonts w:ascii="Times New Roman" w:hAnsi="Times New Roman" w:cs="Times New Roman"/>
          <w:color w:val="auto"/>
          <w:lang w:val="en-GB"/>
        </w:rPr>
      </w:pPr>
    </w:p>
    <w:sectPr w:rsidR="009B7FE3" w:rsidRPr="006A41DD" w:rsidSect="000E068C">
      <w:headerReference w:type="first" r:id="rId7"/>
      <w:type w:val="continuous"/>
      <w:pgSz w:w="11907" w:h="16840" w:code="9"/>
      <w:pgMar w:top="1134" w:right="1134" w:bottom="1134" w:left="1134" w:header="454" w:footer="454" w:gutter="113"/>
      <w:cols w:space="283"/>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64ED4C1" w14:textId="77777777" w:rsidR="000908E8" w:rsidRDefault="000908E8">
      <w:pPr>
        <w:rPr>
          <w:rFonts w:cs="Times New Roman"/>
        </w:rPr>
      </w:pPr>
      <w:r>
        <w:rPr>
          <w:rFonts w:cs="Times New Roman"/>
        </w:rPr>
        <w:separator/>
      </w:r>
    </w:p>
  </w:endnote>
  <w:endnote w:type="continuationSeparator" w:id="0">
    <w:p w14:paraId="74A76677" w14:textId="77777777" w:rsidR="000908E8" w:rsidRDefault="000908E8">
      <w:pPr>
        <w:rPr>
          <w:rFonts w:cs="Times New Roman"/>
        </w:rPr>
      </w:pPr>
      <w:r>
        <w:rPr>
          <w:rFonts w:cs="Times New Roman"/>
        </w:rP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Palatino">
    <w:altName w:val="Book Antiqua"/>
    <w:panose1 w:val="00000000000000000000"/>
    <w:charset w:val="00"/>
    <w:family w:val="auto"/>
    <w:pitch w:val="variable"/>
    <w:sig w:usb0="00000003" w:usb1="00000000" w:usb2="00000000" w:usb3="00000000" w:csb0="00000003"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9E38877" w14:textId="77777777" w:rsidR="000908E8" w:rsidRDefault="000908E8">
      <w:pPr>
        <w:rPr>
          <w:rFonts w:cs="Times New Roman"/>
        </w:rPr>
      </w:pPr>
      <w:r>
        <w:rPr>
          <w:rFonts w:cs="Times New Roman"/>
        </w:rPr>
        <w:separator/>
      </w:r>
    </w:p>
  </w:footnote>
  <w:footnote w:type="continuationSeparator" w:id="0">
    <w:p w14:paraId="4703E454" w14:textId="77777777" w:rsidR="000908E8" w:rsidRDefault="000908E8">
      <w:pPr>
        <w:rPr>
          <w:rFonts w:cs="Times New Roman"/>
        </w:rPr>
      </w:pPr>
      <w:r>
        <w:rPr>
          <w:rFonts w:cs="Times New Roman"/>
        </w:rP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C537D0B" w14:textId="77777777" w:rsidR="005C305C" w:rsidRPr="005C305C" w:rsidRDefault="009D76BD" w:rsidP="005C305C">
    <w:pPr>
      <w:pStyle w:val="Header"/>
      <w:jc w:val="center"/>
      <w:rPr>
        <w:rFonts w:asciiTheme="minorHAnsi" w:hAnsiTheme="minorHAnsi" w:cs="Times New Roman"/>
        <w:b/>
        <w:color w:val="7F7F7F" w:themeColor="text1" w:themeTint="80"/>
        <w:sz w:val="20"/>
        <w:szCs w:val="22"/>
      </w:rPr>
    </w:pPr>
    <w:r>
      <w:rPr>
        <w:rFonts w:asciiTheme="minorHAnsi" w:hAnsiTheme="minorHAnsi" w:cs="Times New Roman"/>
        <w:b/>
        <w:color w:val="7F7F7F" w:themeColor="text1" w:themeTint="80"/>
        <w:sz w:val="20"/>
        <w:szCs w:val="22"/>
      </w:rPr>
      <w:t>European Molecular Liquids Group and Japanese Molecular Liquids Group Annual Meeting (EMLG/JMLG 2026</w:t>
    </w:r>
    <w:r w:rsidR="005C305C" w:rsidRPr="005C305C">
      <w:rPr>
        <w:rFonts w:asciiTheme="minorHAnsi" w:hAnsiTheme="minorHAnsi" w:cs="Times New Roman"/>
        <w:b/>
        <w:color w:val="7F7F7F" w:themeColor="text1" w:themeTint="80"/>
        <w:sz w:val="20"/>
        <w:szCs w:val="22"/>
      </w:rPr>
      <w:t>)</w:t>
    </w:r>
  </w:p>
  <w:p w14:paraId="39F0FE57" w14:textId="77777777" w:rsidR="00121503" w:rsidRPr="005C305C" w:rsidRDefault="009D76BD" w:rsidP="005C305C">
    <w:pPr>
      <w:pStyle w:val="Header"/>
      <w:tabs>
        <w:tab w:val="clear" w:pos="4320"/>
      </w:tabs>
      <w:jc w:val="center"/>
      <w:rPr>
        <w:rFonts w:asciiTheme="minorHAnsi" w:hAnsiTheme="minorHAnsi" w:cs="Times New Roman"/>
        <w:b/>
        <w:color w:val="7F7F7F" w:themeColor="text1" w:themeTint="80"/>
        <w:sz w:val="20"/>
        <w:szCs w:val="22"/>
      </w:rPr>
    </w:pPr>
    <w:r>
      <w:rPr>
        <w:rFonts w:asciiTheme="minorHAnsi" w:hAnsiTheme="minorHAnsi" w:cs="Times New Roman"/>
        <w:b/>
        <w:color w:val="7F7F7F" w:themeColor="text1" w:themeTint="80"/>
        <w:sz w:val="20"/>
        <w:szCs w:val="22"/>
      </w:rPr>
      <w:t>Glasgow</w:t>
    </w:r>
    <w:r w:rsidR="00414C25">
      <w:rPr>
        <w:rFonts w:asciiTheme="minorHAnsi" w:hAnsiTheme="minorHAnsi" w:cs="Times New Roman"/>
        <w:b/>
        <w:color w:val="7F7F7F" w:themeColor="text1" w:themeTint="80"/>
        <w:sz w:val="20"/>
        <w:szCs w:val="22"/>
      </w:rPr>
      <w:t xml:space="preserve"> </w:t>
    </w:r>
    <w:r w:rsidR="005C305C" w:rsidRPr="005C305C">
      <w:rPr>
        <w:rFonts w:asciiTheme="minorHAnsi" w:hAnsiTheme="minorHAnsi" w:cs="Times New Roman"/>
        <w:b/>
        <w:color w:val="7F7F7F" w:themeColor="text1" w:themeTint="80"/>
        <w:sz w:val="20"/>
        <w:szCs w:val="22"/>
      </w:rPr>
      <w:t>(</w:t>
    </w:r>
    <w:r w:rsidR="00414C25">
      <w:rPr>
        <w:rFonts w:asciiTheme="minorHAnsi" w:hAnsiTheme="minorHAnsi" w:cs="Times New Roman"/>
        <w:b/>
        <w:color w:val="7F7F7F" w:themeColor="text1" w:themeTint="80"/>
        <w:sz w:val="20"/>
        <w:szCs w:val="22"/>
      </w:rPr>
      <w:t>UK</w:t>
    </w:r>
    <w:r w:rsidR="005C305C" w:rsidRPr="005C305C">
      <w:rPr>
        <w:rFonts w:asciiTheme="minorHAnsi" w:hAnsiTheme="minorHAnsi" w:cs="Times New Roman"/>
        <w:b/>
        <w:color w:val="7F7F7F" w:themeColor="text1" w:themeTint="80"/>
        <w:sz w:val="20"/>
        <w:szCs w:val="22"/>
      </w:rPr>
      <w:t xml:space="preserve">), </w:t>
    </w:r>
    <w:r>
      <w:rPr>
        <w:rFonts w:asciiTheme="minorHAnsi" w:hAnsiTheme="minorHAnsi" w:cs="Times New Roman"/>
        <w:b/>
        <w:color w:val="7F7F7F" w:themeColor="text1" w:themeTint="80"/>
        <w:sz w:val="20"/>
        <w:szCs w:val="22"/>
      </w:rPr>
      <w:t>31</w:t>
    </w:r>
    <w:r w:rsidR="005C305C" w:rsidRPr="005C305C">
      <w:rPr>
        <w:rFonts w:asciiTheme="minorHAnsi" w:hAnsiTheme="minorHAnsi" w:cs="Times New Roman"/>
        <w:b/>
        <w:color w:val="7F7F7F" w:themeColor="text1" w:themeTint="80"/>
        <w:sz w:val="20"/>
        <w:szCs w:val="22"/>
        <w:vertAlign w:val="superscript"/>
      </w:rPr>
      <w:t>th</w:t>
    </w:r>
    <w:r w:rsidR="005C305C" w:rsidRPr="005C305C">
      <w:rPr>
        <w:rFonts w:asciiTheme="minorHAnsi" w:hAnsiTheme="minorHAnsi" w:cs="Times New Roman"/>
        <w:b/>
        <w:color w:val="7F7F7F" w:themeColor="text1" w:themeTint="80"/>
        <w:sz w:val="20"/>
        <w:szCs w:val="22"/>
      </w:rPr>
      <w:t xml:space="preserve"> </w:t>
    </w:r>
    <w:r>
      <w:rPr>
        <w:rFonts w:asciiTheme="minorHAnsi" w:hAnsiTheme="minorHAnsi" w:cs="Times New Roman"/>
        <w:b/>
        <w:color w:val="7F7F7F" w:themeColor="text1" w:themeTint="80"/>
        <w:sz w:val="20"/>
        <w:szCs w:val="22"/>
      </w:rPr>
      <w:t>August – 4</w:t>
    </w:r>
    <w:r w:rsidR="005C305C" w:rsidRPr="005C305C">
      <w:rPr>
        <w:rFonts w:asciiTheme="minorHAnsi" w:hAnsiTheme="minorHAnsi" w:cs="Times New Roman"/>
        <w:b/>
        <w:color w:val="7F7F7F" w:themeColor="text1" w:themeTint="80"/>
        <w:sz w:val="20"/>
        <w:szCs w:val="22"/>
        <w:vertAlign w:val="superscript"/>
      </w:rPr>
      <w:t>th</w:t>
    </w:r>
    <w:r w:rsidR="005C305C" w:rsidRPr="005C305C">
      <w:rPr>
        <w:rFonts w:asciiTheme="minorHAnsi" w:hAnsiTheme="minorHAnsi" w:cs="Times New Roman"/>
        <w:b/>
        <w:color w:val="7F7F7F" w:themeColor="text1" w:themeTint="80"/>
        <w:sz w:val="20"/>
        <w:szCs w:val="22"/>
      </w:rPr>
      <w:t xml:space="preserve"> </w:t>
    </w:r>
    <w:r>
      <w:rPr>
        <w:rFonts w:asciiTheme="minorHAnsi" w:hAnsiTheme="minorHAnsi" w:cs="Times New Roman"/>
        <w:b/>
        <w:color w:val="7F7F7F" w:themeColor="text1" w:themeTint="80"/>
        <w:sz w:val="20"/>
        <w:szCs w:val="22"/>
      </w:rPr>
      <w:t>September</w:t>
    </w:r>
    <w:r w:rsidR="00414C25">
      <w:rPr>
        <w:rFonts w:asciiTheme="minorHAnsi" w:hAnsiTheme="minorHAnsi" w:cs="Times New Roman"/>
        <w:b/>
        <w:color w:val="7F7F7F" w:themeColor="text1" w:themeTint="80"/>
        <w:sz w:val="20"/>
        <w:szCs w:val="22"/>
      </w:rPr>
      <w:t>, 202</w:t>
    </w:r>
    <w:r>
      <w:rPr>
        <w:rFonts w:asciiTheme="minorHAnsi" w:hAnsiTheme="minorHAnsi" w:cs="Times New Roman"/>
        <w:b/>
        <w:color w:val="7F7F7F" w:themeColor="text1" w:themeTint="80"/>
        <w:sz w:val="20"/>
        <w:szCs w:val="22"/>
      </w:rPr>
      <w:t>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50F4434"/>
    <w:multiLevelType w:val="hybridMultilevel"/>
    <w:tmpl w:val="91025D78"/>
    <w:lvl w:ilvl="0" w:tplc="04090001">
      <w:start w:val="1"/>
      <w:numFmt w:val="bullet"/>
      <w:lvlText w:val=""/>
      <w:lvlJc w:val="left"/>
      <w:pPr>
        <w:tabs>
          <w:tab w:val="num" w:pos="1004"/>
        </w:tabs>
        <w:ind w:left="1004" w:hanging="360"/>
      </w:pPr>
      <w:rPr>
        <w:rFonts w:ascii="Symbol" w:hAnsi="Symbol" w:hint="default"/>
      </w:rPr>
    </w:lvl>
    <w:lvl w:ilvl="1" w:tplc="04090003">
      <w:start w:val="1"/>
      <w:numFmt w:val="bullet"/>
      <w:lvlText w:val="o"/>
      <w:lvlJc w:val="left"/>
      <w:pPr>
        <w:tabs>
          <w:tab w:val="num" w:pos="1724"/>
        </w:tabs>
        <w:ind w:left="1724" w:hanging="360"/>
      </w:pPr>
      <w:rPr>
        <w:rFonts w:ascii="Courier New" w:hAnsi="Courier New" w:hint="default"/>
      </w:rPr>
    </w:lvl>
    <w:lvl w:ilvl="2" w:tplc="04090005">
      <w:start w:val="1"/>
      <w:numFmt w:val="bullet"/>
      <w:lvlText w:val=""/>
      <w:lvlJc w:val="left"/>
      <w:pPr>
        <w:tabs>
          <w:tab w:val="num" w:pos="2444"/>
        </w:tabs>
        <w:ind w:left="2444" w:hanging="360"/>
      </w:pPr>
      <w:rPr>
        <w:rFonts w:ascii="Wingdings" w:hAnsi="Wingdings" w:hint="default"/>
      </w:rPr>
    </w:lvl>
    <w:lvl w:ilvl="3" w:tplc="04090001">
      <w:start w:val="1"/>
      <w:numFmt w:val="bullet"/>
      <w:lvlText w:val=""/>
      <w:lvlJc w:val="left"/>
      <w:pPr>
        <w:tabs>
          <w:tab w:val="num" w:pos="3164"/>
        </w:tabs>
        <w:ind w:left="3164" w:hanging="360"/>
      </w:pPr>
      <w:rPr>
        <w:rFonts w:ascii="Symbol" w:hAnsi="Symbol" w:hint="default"/>
      </w:rPr>
    </w:lvl>
    <w:lvl w:ilvl="4" w:tplc="04090003">
      <w:start w:val="1"/>
      <w:numFmt w:val="bullet"/>
      <w:lvlText w:val="o"/>
      <w:lvlJc w:val="left"/>
      <w:pPr>
        <w:tabs>
          <w:tab w:val="num" w:pos="3884"/>
        </w:tabs>
        <w:ind w:left="3884" w:hanging="360"/>
      </w:pPr>
      <w:rPr>
        <w:rFonts w:ascii="Courier New" w:hAnsi="Courier New" w:hint="default"/>
      </w:rPr>
    </w:lvl>
    <w:lvl w:ilvl="5" w:tplc="04090005">
      <w:start w:val="1"/>
      <w:numFmt w:val="bullet"/>
      <w:lvlText w:val=""/>
      <w:lvlJc w:val="left"/>
      <w:pPr>
        <w:tabs>
          <w:tab w:val="num" w:pos="4604"/>
        </w:tabs>
        <w:ind w:left="4604" w:hanging="360"/>
      </w:pPr>
      <w:rPr>
        <w:rFonts w:ascii="Wingdings" w:hAnsi="Wingdings" w:hint="default"/>
      </w:rPr>
    </w:lvl>
    <w:lvl w:ilvl="6" w:tplc="04090001">
      <w:start w:val="1"/>
      <w:numFmt w:val="bullet"/>
      <w:lvlText w:val=""/>
      <w:lvlJc w:val="left"/>
      <w:pPr>
        <w:tabs>
          <w:tab w:val="num" w:pos="5324"/>
        </w:tabs>
        <w:ind w:left="5324" w:hanging="360"/>
      </w:pPr>
      <w:rPr>
        <w:rFonts w:ascii="Symbol" w:hAnsi="Symbol" w:hint="default"/>
      </w:rPr>
    </w:lvl>
    <w:lvl w:ilvl="7" w:tplc="04090003">
      <w:start w:val="1"/>
      <w:numFmt w:val="bullet"/>
      <w:lvlText w:val="o"/>
      <w:lvlJc w:val="left"/>
      <w:pPr>
        <w:tabs>
          <w:tab w:val="num" w:pos="6044"/>
        </w:tabs>
        <w:ind w:left="6044" w:hanging="360"/>
      </w:pPr>
      <w:rPr>
        <w:rFonts w:ascii="Courier New" w:hAnsi="Courier New" w:hint="default"/>
      </w:rPr>
    </w:lvl>
    <w:lvl w:ilvl="8" w:tplc="04090005">
      <w:start w:val="1"/>
      <w:numFmt w:val="bullet"/>
      <w:lvlText w:val=""/>
      <w:lvlJc w:val="left"/>
      <w:pPr>
        <w:tabs>
          <w:tab w:val="num" w:pos="6764"/>
        </w:tabs>
        <w:ind w:left="6764"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05"/>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oNotHyphenateCaps/>
  <w:drawingGridHorizontalSpacing w:val="120"/>
  <w:drawingGridVerticalSpacing w:val="120"/>
  <w:displayHorizontalDrawingGridEvery w:val="0"/>
  <w:displayVerticalDrawingGridEvery w:val="3"/>
  <w:doNotUseMarginsForDrawingGridOrigin/>
  <w:characterSpacingControl w:val="compressPunctuation"/>
  <w:doNotValidateAgainstSchema/>
  <w:doNotDemarcateInvalidXml/>
  <w:footnotePr>
    <w:footnote w:id="-1"/>
    <w:footnote w:id="0"/>
  </w:footnotePr>
  <w:endnotePr>
    <w:endnote w:id="-1"/>
    <w:endnote w:id="0"/>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2212"/>
    <w:rsid w:val="000908E8"/>
    <w:rsid w:val="000D2FA6"/>
    <w:rsid w:val="000E068C"/>
    <w:rsid w:val="000E2212"/>
    <w:rsid w:val="001074BF"/>
    <w:rsid w:val="00121503"/>
    <w:rsid w:val="00193928"/>
    <w:rsid w:val="00231302"/>
    <w:rsid w:val="00253636"/>
    <w:rsid w:val="00263205"/>
    <w:rsid w:val="00274257"/>
    <w:rsid w:val="002A2BE3"/>
    <w:rsid w:val="002D2CBB"/>
    <w:rsid w:val="002E1293"/>
    <w:rsid w:val="002E2D20"/>
    <w:rsid w:val="00347A46"/>
    <w:rsid w:val="00353EAC"/>
    <w:rsid w:val="00365F82"/>
    <w:rsid w:val="00414C25"/>
    <w:rsid w:val="00455BDA"/>
    <w:rsid w:val="00464BEB"/>
    <w:rsid w:val="004931DE"/>
    <w:rsid w:val="004B6472"/>
    <w:rsid w:val="004C64EB"/>
    <w:rsid w:val="004E30A4"/>
    <w:rsid w:val="00501487"/>
    <w:rsid w:val="00511774"/>
    <w:rsid w:val="005469D9"/>
    <w:rsid w:val="005545FA"/>
    <w:rsid w:val="00586A94"/>
    <w:rsid w:val="005A089E"/>
    <w:rsid w:val="005B2556"/>
    <w:rsid w:val="005C305C"/>
    <w:rsid w:val="005C41E1"/>
    <w:rsid w:val="005F7FCC"/>
    <w:rsid w:val="0061348E"/>
    <w:rsid w:val="00641F63"/>
    <w:rsid w:val="0066218E"/>
    <w:rsid w:val="006A41DD"/>
    <w:rsid w:val="006B6FA2"/>
    <w:rsid w:val="006C3A1F"/>
    <w:rsid w:val="006D29C2"/>
    <w:rsid w:val="00736CAF"/>
    <w:rsid w:val="00790F76"/>
    <w:rsid w:val="007C1576"/>
    <w:rsid w:val="007C5B23"/>
    <w:rsid w:val="007D40D8"/>
    <w:rsid w:val="007F6CCF"/>
    <w:rsid w:val="00803424"/>
    <w:rsid w:val="0081503C"/>
    <w:rsid w:val="00835925"/>
    <w:rsid w:val="008373DC"/>
    <w:rsid w:val="0085659C"/>
    <w:rsid w:val="008A5395"/>
    <w:rsid w:val="008B09B5"/>
    <w:rsid w:val="0099331B"/>
    <w:rsid w:val="009B4373"/>
    <w:rsid w:val="009B7FE3"/>
    <w:rsid w:val="009D652E"/>
    <w:rsid w:val="009D76BD"/>
    <w:rsid w:val="009E270C"/>
    <w:rsid w:val="009E5FC0"/>
    <w:rsid w:val="009F2461"/>
    <w:rsid w:val="00A462F7"/>
    <w:rsid w:val="00A557B0"/>
    <w:rsid w:val="00A805D7"/>
    <w:rsid w:val="00AA11ED"/>
    <w:rsid w:val="00AA5445"/>
    <w:rsid w:val="00AC16A9"/>
    <w:rsid w:val="00AD0CB5"/>
    <w:rsid w:val="00AF4C78"/>
    <w:rsid w:val="00B70E27"/>
    <w:rsid w:val="00C75D52"/>
    <w:rsid w:val="00CB1F1E"/>
    <w:rsid w:val="00CB6020"/>
    <w:rsid w:val="00CD29C8"/>
    <w:rsid w:val="00CF7596"/>
    <w:rsid w:val="00D334E6"/>
    <w:rsid w:val="00D412F4"/>
    <w:rsid w:val="00D656A7"/>
    <w:rsid w:val="00D808D2"/>
    <w:rsid w:val="00D8300D"/>
    <w:rsid w:val="00D90AA2"/>
    <w:rsid w:val="00E4528E"/>
    <w:rsid w:val="00E519B2"/>
    <w:rsid w:val="00E80C4B"/>
    <w:rsid w:val="00E931EB"/>
    <w:rsid w:val="00ED3DD1"/>
    <w:rsid w:val="00EE08EF"/>
    <w:rsid w:val="00EE79AA"/>
    <w:rsid w:val="00EF2E31"/>
    <w:rsid w:val="00F0375E"/>
    <w:rsid w:val="00F778AE"/>
    <w:rsid w:val="00F83434"/>
    <w:rsid w:val="00F932FB"/>
    <w:rsid w:val="00FC091B"/>
    <w:rsid w:val="00FD6BE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FC1F24F"/>
  <w14:defaultImageDpi w14:val="0"/>
  <w15:docId w15:val="{B099DFF7-1845-4979-84AA-30C0C538D8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pPr>
      <w:autoSpaceDE w:val="0"/>
      <w:autoSpaceDN w:val="0"/>
      <w:jc w:val="both"/>
    </w:pPr>
    <w:rPr>
      <w:rFonts w:ascii="Palatino" w:eastAsia="MS Mincho" w:hAnsi="Palatino" w:cs="Palatino"/>
      <w:color w:val="000000"/>
      <w:sz w:val="24"/>
      <w:szCs w:val="24"/>
      <w:lang w:val="en-US"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rPr>
      <w:rFonts w:ascii="Times New Roman" w:hAnsi="Times New Roman" w:cs="Times New Roman"/>
      <w:color w:val="0000FF"/>
      <w:u w:val="single"/>
    </w:rPr>
  </w:style>
  <w:style w:type="paragraph" w:styleId="BodyText2">
    <w:name w:val="Body Text 2"/>
    <w:basedOn w:val="Normal"/>
    <w:link w:val="BodyText2Char"/>
    <w:uiPriority w:val="99"/>
    <w:pPr>
      <w:ind w:firstLine="284"/>
    </w:pPr>
    <w:rPr>
      <w:sz w:val="22"/>
      <w:szCs w:val="22"/>
    </w:rPr>
  </w:style>
  <w:style w:type="character" w:customStyle="1" w:styleId="BodyText2Char">
    <w:name w:val="Body Text 2 Char"/>
    <w:basedOn w:val="DefaultParagraphFont"/>
    <w:link w:val="BodyText2"/>
    <w:uiPriority w:val="99"/>
    <w:semiHidden/>
    <w:locked/>
    <w:rPr>
      <w:rFonts w:ascii="Palatino" w:eastAsia="MS Mincho" w:hAnsi="Palatino" w:cs="Palatino"/>
      <w:color w:val="000000"/>
      <w:sz w:val="24"/>
      <w:szCs w:val="24"/>
      <w:lang w:val="en-US" w:eastAsia="ja-JP"/>
    </w:rPr>
  </w:style>
  <w:style w:type="paragraph" w:styleId="PlainText">
    <w:name w:val="Plain Text"/>
    <w:basedOn w:val="Normal"/>
    <w:link w:val="PlainTextChar"/>
    <w:uiPriority w:val="99"/>
    <w:pPr>
      <w:jc w:val="left"/>
    </w:pPr>
    <w:rPr>
      <w:rFonts w:ascii="Courier New" w:hAnsi="Courier New" w:cs="Courier New"/>
      <w:color w:val="auto"/>
      <w:sz w:val="20"/>
      <w:szCs w:val="20"/>
    </w:rPr>
  </w:style>
  <w:style w:type="character" w:customStyle="1" w:styleId="PlainTextChar">
    <w:name w:val="Plain Text Char"/>
    <w:basedOn w:val="DefaultParagraphFont"/>
    <w:link w:val="PlainText"/>
    <w:uiPriority w:val="99"/>
    <w:semiHidden/>
    <w:locked/>
    <w:rPr>
      <w:rFonts w:ascii="Courier New" w:eastAsia="MS Mincho" w:hAnsi="Courier New" w:cs="Courier New"/>
      <w:color w:val="000000"/>
      <w:lang w:val="en-US" w:eastAsia="ja-JP"/>
    </w:rPr>
  </w:style>
  <w:style w:type="paragraph" w:styleId="BodyTextIndent2">
    <w:name w:val="Body Text Indent 2"/>
    <w:basedOn w:val="Normal"/>
    <w:link w:val="BodyTextIndent2Char"/>
    <w:uiPriority w:val="99"/>
    <w:pPr>
      <w:ind w:firstLine="284"/>
      <w:jc w:val="left"/>
    </w:pPr>
    <w:rPr>
      <w:b/>
      <w:bCs/>
      <w:sz w:val="22"/>
      <w:szCs w:val="22"/>
    </w:rPr>
  </w:style>
  <w:style w:type="character" w:customStyle="1" w:styleId="BodyTextIndent2Char">
    <w:name w:val="Body Text Indent 2 Char"/>
    <w:basedOn w:val="DefaultParagraphFont"/>
    <w:link w:val="BodyTextIndent2"/>
    <w:uiPriority w:val="99"/>
    <w:semiHidden/>
    <w:locked/>
    <w:rPr>
      <w:rFonts w:ascii="Palatino" w:eastAsia="MS Mincho" w:hAnsi="Palatino" w:cs="Palatino"/>
      <w:color w:val="000000"/>
      <w:sz w:val="24"/>
      <w:szCs w:val="24"/>
      <w:lang w:val="en-US" w:eastAsia="ja-JP"/>
    </w:rPr>
  </w:style>
  <w:style w:type="paragraph" w:styleId="BodyTextIndent3">
    <w:name w:val="Body Text Indent 3"/>
    <w:basedOn w:val="Normal"/>
    <w:link w:val="BodyTextIndent3Char"/>
    <w:uiPriority w:val="99"/>
    <w:pPr>
      <w:ind w:firstLine="284"/>
    </w:pPr>
    <w:rPr>
      <w:rFonts w:ascii="Times New Roman" w:hAnsi="Times New Roman" w:cs="Times New Roman"/>
      <w:b/>
      <w:bCs/>
      <w:sz w:val="22"/>
      <w:szCs w:val="22"/>
    </w:rPr>
  </w:style>
  <w:style w:type="character" w:customStyle="1" w:styleId="BodyTextIndent3Char">
    <w:name w:val="Body Text Indent 3 Char"/>
    <w:basedOn w:val="DefaultParagraphFont"/>
    <w:link w:val="BodyTextIndent3"/>
    <w:uiPriority w:val="99"/>
    <w:semiHidden/>
    <w:locked/>
    <w:rPr>
      <w:rFonts w:ascii="Palatino" w:eastAsia="MS Mincho" w:hAnsi="Palatino" w:cs="Palatino"/>
      <w:color w:val="000000"/>
      <w:sz w:val="16"/>
      <w:szCs w:val="16"/>
      <w:lang w:val="en-US" w:eastAsia="ja-JP"/>
    </w:rPr>
  </w:style>
  <w:style w:type="paragraph" w:styleId="Header">
    <w:name w:val="header"/>
    <w:basedOn w:val="Normal"/>
    <w:link w:val="HeaderChar"/>
    <w:uiPriority w:val="99"/>
    <w:rsid w:val="00E4528E"/>
    <w:pPr>
      <w:tabs>
        <w:tab w:val="center" w:pos="4320"/>
        <w:tab w:val="right" w:pos="8640"/>
      </w:tabs>
    </w:pPr>
  </w:style>
  <w:style w:type="character" w:customStyle="1" w:styleId="HeaderChar">
    <w:name w:val="Header Char"/>
    <w:basedOn w:val="DefaultParagraphFont"/>
    <w:link w:val="Header"/>
    <w:uiPriority w:val="99"/>
    <w:semiHidden/>
    <w:locked/>
    <w:rPr>
      <w:rFonts w:ascii="Palatino" w:eastAsia="MS Mincho" w:hAnsi="Palatino" w:cs="Palatino"/>
      <w:color w:val="000000"/>
      <w:sz w:val="24"/>
      <w:szCs w:val="24"/>
      <w:lang w:val="en-US" w:eastAsia="ja-JP"/>
    </w:rPr>
  </w:style>
  <w:style w:type="paragraph" w:styleId="Footer">
    <w:name w:val="footer"/>
    <w:basedOn w:val="Normal"/>
    <w:link w:val="FooterChar"/>
    <w:uiPriority w:val="99"/>
    <w:rsid w:val="00E4528E"/>
    <w:pPr>
      <w:tabs>
        <w:tab w:val="center" w:pos="4320"/>
        <w:tab w:val="right" w:pos="8640"/>
      </w:tabs>
    </w:pPr>
  </w:style>
  <w:style w:type="character" w:customStyle="1" w:styleId="FooterChar">
    <w:name w:val="Footer Char"/>
    <w:basedOn w:val="DefaultParagraphFont"/>
    <w:link w:val="Footer"/>
    <w:uiPriority w:val="99"/>
    <w:semiHidden/>
    <w:locked/>
    <w:rPr>
      <w:rFonts w:ascii="Palatino" w:eastAsia="MS Mincho" w:hAnsi="Palatino" w:cs="Palatino"/>
      <w:color w:val="000000"/>
      <w:sz w:val="24"/>
      <w:szCs w:val="24"/>
      <w:lang w:val="en-US" w:eastAsia="ja-JP"/>
    </w:rPr>
  </w:style>
  <w:style w:type="character" w:styleId="PageNumber">
    <w:name w:val="page number"/>
    <w:basedOn w:val="DefaultParagraphFont"/>
    <w:uiPriority w:val="99"/>
    <w:rsid w:val="00E4528E"/>
    <w:rPr>
      <w:rFonts w:cs="Times New Roman"/>
    </w:rPr>
  </w:style>
  <w:style w:type="character" w:styleId="UnresolvedMention">
    <w:name w:val="Unresolved Mention"/>
    <w:basedOn w:val="DefaultParagraphFont"/>
    <w:uiPriority w:val="99"/>
    <w:semiHidden/>
    <w:unhideWhenUsed/>
    <w:rsid w:val="00274257"/>
    <w:rPr>
      <w:rFonts w:cs="Times New Roman"/>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3496902">
      <w:bodyDiv w:val="1"/>
      <w:marLeft w:val="0"/>
      <w:marRight w:val="0"/>
      <w:marTop w:val="0"/>
      <w:marBottom w:val="0"/>
      <w:divBdr>
        <w:top w:val="none" w:sz="0" w:space="0" w:color="auto"/>
        <w:left w:val="none" w:sz="0" w:space="0" w:color="auto"/>
        <w:bottom w:val="none" w:sz="0" w:space="0" w:color="auto"/>
        <w:right w:val="none" w:sz="0" w:space="0" w:color="auto"/>
      </w:divBdr>
    </w:div>
    <w:div w:id="142431596">
      <w:bodyDiv w:val="1"/>
      <w:marLeft w:val="0"/>
      <w:marRight w:val="0"/>
      <w:marTop w:val="0"/>
      <w:marBottom w:val="0"/>
      <w:divBdr>
        <w:top w:val="none" w:sz="0" w:space="0" w:color="auto"/>
        <w:left w:val="none" w:sz="0" w:space="0" w:color="auto"/>
        <w:bottom w:val="none" w:sz="0" w:space="0" w:color="auto"/>
        <w:right w:val="none" w:sz="0" w:space="0" w:color="auto"/>
      </w:divBdr>
    </w:div>
    <w:div w:id="1279947694">
      <w:bodyDiv w:val="1"/>
      <w:marLeft w:val="0"/>
      <w:marRight w:val="0"/>
      <w:marTop w:val="0"/>
      <w:marBottom w:val="0"/>
      <w:divBdr>
        <w:top w:val="none" w:sz="0" w:space="0" w:color="auto"/>
        <w:left w:val="none" w:sz="0" w:space="0" w:color="auto"/>
        <w:bottom w:val="none" w:sz="0" w:space="0" w:color="auto"/>
        <w:right w:val="none" w:sz="0" w:space="0" w:color="auto"/>
      </w:divBdr>
    </w:div>
    <w:div w:id="17861968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Pages>
  <Words>442</Words>
  <Characters>2522</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Abstract Template for 6th International Conference on</vt:lpstr>
    </vt:vector>
  </TitlesOfParts>
  <Company>ICPM-6</Company>
  <LinksUpToDate>false</LinksUpToDate>
  <CharactersWithSpaces>2959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Abstract Template for 6th International Conference on</dc:title>
  <dc:subject/>
  <dc:creator>ICPM-6</dc:creator>
  <cp:keywords/>
  <dc:description/>
  <cp:lastModifiedBy>ELIXABETE REZABAL ASTIGARRAGA</cp:lastModifiedBy>
  <cp:revision>3</cp:revision>
  <cp:lastPrinted>2016-01-14T19:34:00Z</cp:lastPrinted>
  <dcterms:created xsi:type="dcterms:W3CDTF">2026-05-11T10:56:00Z</dcterms:created>
  <dcterms:modified xsi:type="dcterms:W3CDTF">2026-05-11T11:12:00Z</dcterms:modified>
</cp:coreProperties>
</file>