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72BFC323" wp14:textId="77777777"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Water self-dissociation in slit pores </w:t>
      </w:r>
    </w:p>
    <w:p xmlns:wp14="http://schemas.microsoft.com/office/word/2010/wordml" w14:paraId="7C53306C" wp14:textId="77777777"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displays non-monotonic behavior as a function of water filling </w:t>
      </w:r>
    </w:p>
    <w:p xmlns:wp14="http://schemas.microsoft.com/office/word/2010/wordml" w14:paraId="672A6659" wp14:textId="77777777">
      <w:pPr>
        <w:pStyle w:val="Normal"/>
        <w:jc w:val="center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</w:r>
    </w:p>
    <w:p xmlns:wp14="http://schemas.microsoft.com/office/word/2010/wordml" w14:paraId="4907DB6F" wp14:textId="77777777">
      <w:pPr>
        <w:pStyle w:val="Normal"/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u w:val="single"/>
          <w:lang w:val="en-GB"/>
        </w:rPr>
        <w:t>S. Ruiz-Barragan</w:t>
      </w:r>
      <w:r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>
        <w:rPr>
          <w:rFonts w:ascii="Times New Roman" w:hAnsi="Times New Roman" w:cs="Times New Roman"/>
          <w:b/>
          <w:bCs/>
          <w:lang w:val="en-GB"/>
        </w:rPr>
        <w:t>,D. Mu</w:t>
      </w:r>
      <w:r>
        <w:rPr>
          <w:rFonts w:ascii="Times New Roman" w:hAnsi="Times New Roman" w:cs="Times New Roman"/>
          <w:b/>
          <w:bCs/>
          <w:lang w:val="en-GB"/>
        </w:rPr>
        <w:t>ñ</w:t>
      </w:r>
      <w:r>
        <w:rPr>
          <w:rFonts w:ascii="Times New Roman" w:hAnsi="Times New Roman" w:cs="Times New Roman"/>
          <w:b/>
          <w:bCs/>
          <w:lang w:val="en-GB"/>
        </w:rPr>
        <w:t>oz-Santiburcio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, S. Körning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3</w:t>
      </w:r>
      <w:r>
        <w:rPr>
          <w:rFonts w:ascii="Times New Roman" w:hAnsi="Times New Roman" w:cs="Times New Roman"/>
          <w:b/>
          <w:bCs/>
          <w:lang w:val="en-GB"/>
        </w:rPr>
        <w:t>, D. Marx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3</w:t>
      </w:r>
    </w:p>
    <w:p xmlns:wp14="http://schemas.microsoft.com/office/word/2010/wordml" w14:paraId="0E5E9F44" wp14:textId="77777777"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Universitat Politécnica de Catalunya, Departament de Física, Terrassa 08222, Spain </w:t>
      </w:r>
    </w:p>
    <w:p xmlns:wp14="http://schemas.microsoft.com/office/word/2010/wordml" w14:paraId="49C7AD3F" wp14:textId="77777777"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Instituto Andaluz de Ciencias de la Tierra, Spanish Research Council, Armilla, 18100, Spain</w:t>
      </w:r>
    </w:p>
    <w:p xmlns:wp14="http://schemas.microsoft.com/office/word/2010/wordml" w14:paraId="58B0BDEB" wp14:textId="77777777"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3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Lehrstuhl für Theoretische Chemie, Ruhr-Universität Bochum,  Bochum, 44780, Germany</w:t>
      </w:r>
    </w:p>
    <w:p xmlns:wp14="http://schemas.microsoft.com/office/word/2010/wordml" w14:paraId="332F6EBD" wp14:textId="77777777"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e-mail: sergio.ruiz.barragan@upc.edu</w:t>
      </w:r>
    </w:p>
    <w:p xmlns:wp14="http://schemas.microsoft.com/office/word/2010/wordml" w14:paraId="0A37501D" wp14:textId="77777777">
      <w:pPr>
        <w:pStyle w:val="Normal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</w:r>
    </w:p>
    <w:p xmlns:wp14="http://schemas.microsoft.com/office/word/2010/wordml" w14:paraId="246AF555" wp14:textId="77777777">
      <w:pPr>
        <w:pStyle w:val="Normal"/>
        <w:jc w:val="start"/>
        <w:rPr>
          <w:rFonts w:ascii="Times New Roman" w:hAnsi="Times New Roman" w:eastAsia="Times New Roman" w:cs="Times New Roman"/>
          <w:color w:val="auto"/>
          <w:lang w:val="en-GB" w:eastAsia="en-GB"/>
        </w:rPr>
      </w:pPr>
      <w:r>
        <w:rPr>
          <w:rFonts w:ascii="Times New Roman" w:hAnsi="Times New Roman" w:eastAsia="Times New Roman" w:cs="Times New Roman"/>
          <w:color w:val="auto"/>
          <w:lang w:val="en-GB" w:eastAsia="en-GB"/>
        </w:rPr>
        <w:t xml:space="preserve">Although nanofluidics and chemistry in nanoconfined liquids has emerged as an exciting field, the quantitative impact of confinement on fundamental properties remains often unclear </w:t>
      </w:r>
      <w:r>
        <w:rPr>
          <w:rFonts w:ascii="Times New Roman" w:hAnsi="Times New Roman" w:eastAsia="Times New Roman" w:cs="Times New Roman"/>
          <w:color w:val="auto"/>
          <w:lang w:val="en-GB" w:eastAsia="en-GB"/>
        </w:rPr>
        <w:t>[1,2]</w:t>
      </w:r>
      <w:r>
        <w:rPr>
          <w:rFonts w:ascii="Times New Roman" w:hAnsi="Times New Roman" w:eastAsia="Times New Roman" w:cs="Times New Roman"/>
          <w:color w:val="auto"/>
          <w:lang w:val="en-GB" w:eastAsia="en-GB"/>
        </w:rPr>
        <w:t>. Currently, there is not yet consensus on the impact of slit pore confinement on water self</w:t>
      </w:r>
      <w:r>
        <w:rPr>
          <w:rFonts w:ascii="Times New Roman" w:hAnsi="Times New Roman" w:eastAsia="Times New Roman" w:cs="Times New Roman"/>
          <w:color w:val="auto"/>
          <w:lang w:val="en-GB" w:eastAsia="en-GB"/>
        </w:rPr>
        <w:t>d</w:t>
      </w:r>
      <w:r>
        <w:rPr>
          <w:rFonts w:ascii="Times New Roman" w:hAnsi="Times New Roman" w:eastAsia="Times New Roman" w:cs="Times New Roman"/>
          <w:color w:val="auto"/>
          <w:lang w:val="en-GB" w:eastAsia="en-GB"/>
        </w:rPr>
        <w:t xml:space="preserve">issociation </w:t>
      </w:r>
      <w:r>
        <w:rPr>
          <w:rFonts w:ascii="Times New Roman" w:hAnsi="Times New Roman" w:eastAsia="Times New Roman" w:cs="Times New Roman"/>
          <w:color w:val="auto"/>
          <w:lang w:val="en-GB" w:eastAsia="en-GB"/>
        </w:rPr>
        <w:t xml:space="preserve">[1,2] </w:t>
      </w:r>
      <w:r>
        <w:rPr>
          <w:rFonts w:ascii="Times New Roman" w:hAnsi="Times New Roman" w:eastAsia="Times New Roman" w:cs="Times New Roman"/>
          <w:color w:val="auto"/>
          <w:lang w:val="en-GB" w:eastAsia="en-GB"/>
        </w:rPr>
        <w:t xml:space="preserve">, namely if this ubiquitous elementary reaction is enhanced, unaltered or suppressed by nanoconfinement. We address this question for well-defined water/graphene slit pore systems that allow us to carefully establish the appropriate thermodynamic conditions for different pore fillings, specifically pressure </w:t>
      </w:r>
      <w:r>
        <w:rPr>
          <w:rFonts w:ascii="Times New Roman" w:hAnsi="Times New Roman" w:eastAsia="Times New Roman" w:cs="Times New Roman"/>
          <w:color w:val="auto"/>
          <w:lang w:val="en-GB" w:eastAsia="en-GB"/>
        </w:rPr>
        <w:t>[3,4]</w:t>
      </w:r>
      <w:r>
        <w:rPr>
          <w:rFonts w:ascii="Times New Roman" w:hAnsi="Times New Roman" w:eastAsia="Times New Roman" w:cs="Times New Roman"/>
          <w:color w:val="auto"/>
          <w:lang w:val="en-GB" w:eastAsia="en-GB"/>
        </w:rPr>
        <w:t xml:space="preserve">. Anticipating our key results, we show that the energetics of the self-dissociation reaction is very sensitive to even subtle changes of the confinement conditions, leading even to non-monotonic behavior depending on water filling. </w:t>
      </w:r>
    </w:p>
    <w:p xmlns:wp14="http://schemas.microsoft.com/office/word/2010/wordml" w14:paraId="5DAB6C7B" wp14:textId="77777777">
      <w:pPr>
        <w:pStyle w:val="BodyText2"/>
        <w:jc w:val="start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</w:r>
    </w:p>
    <w:p xmlns:wp14="http://schemas.microsoft.com/office/word/2010/wordml" w14:paraId="1D0EEE26" wp14:textId="77777777">
      <w:pPr>
        <w:pStyle w:val="Normal"/>
        <w:snapToGrid w:val="false"/>
        <w:ind w:firstLine="284"/>
        <w:jc w:val="start"/>
        <w:rPr>
          <w:rFonts w:ascii="Times New Roman" w:hAnsi="Times New Roman" w:cs="Times New Roman"/>
          <w:b/>
          <w:bCs/>
          <w:color w:val="auto"/>
          <w:lang w:val="en-GB"/>
        </w:rPr>
      </w:pPr>
      <w:r>
        <w:rPr>
          <w:rFonts w:ascii="Times New Roman" w:hAnsi="Times New Roman" w:cs="Times New Roman"/>
          <w:b/>
          <w:bCs/>
          <w:color w:val="auto"/>
          <w:lang w:val="en-GB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0646ABCB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6575" cy="3126740"/>
            <wp:effectExtent l="0" t="0" r="0" b="0"/>
            <wp:wrapSquare wrapText="largest"/>
            <wp:docPr id="1" name="Imat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t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31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3F75F6B6" wp14:textId="77777777">
      <w:pPr>
        <w:pStyle w:val="Normal"/>
        <w:snapToGrid w:val="false"/>
        <w:ind w:start="0" w:hanging="0"/>
        <w:jc w:val="start"/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</w:pPr>
      <w:r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/>
        </w:rPr>
        <w:t>Figure 1</w:t>
      </w:r>
      <w:r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Solvated hydronium-hydroxide contact ion pair in nanoconfined water in a graphene slit pore.</w:t>
      </w:r>
    </w:p>
    <w:p xmlns:wp14="http://schemas.microsoft.com/office/word/2010/wordml" w14:paraId="02EB378F" wp14:textId="77777777">
      <w:pPr>
        <w:pStyle w:val="Normal"/>
        <w:ind w:firstLine="284"/>
        <w:jc w:val="start"/>
        <w:rPr>
          <w:rFonts w:ascii="Times New Roman" w:hAnsi="Times New Roman" w:cs="Times New Roman"/>
          <w:lang w:val="en-GB"/>
        </w:rPr>
      </w:pPr>
      <w:r>
        <w:rPr/>
      </w:r>
    </w:p>
    <w:p xmlns:wp14="http://schemas.microsoft.com/office/word/2010/wordml" w14:paraId="6A05A809" wp14:textId="77777777">
      <w:pPr>
        <w:pStyle w:val="BodyText2"/>
        <w:jc w:val="start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</w:r>
    </w:p>
    <w:p xmlns:wp14="http://schemas.microsoft.com/office/word/2010/wordml" w14:paraId="071E4E01" wp14:textId="77777777">
      <w:pPr>
        <w:pStyle w:val="Normal"/>
        <w:jc w:val="star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References</w:t>
      </w:r>
    </w:p>
    <w:p xmlns:wp14="http://schemas.microsoft.com/office/word/2010/wordml" w14:paraId="0D6B0495" wp14:textId="77777777">
      <w:pPr>
        <w:pStyle w:val="Normal"/>
        <w:ind w:start="426" w:end="-2" w:hanging="426"/>
        <w:jc w:val="star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[1] D. Muñoz Santiburcio and D. Marx, Phys. Rev. Lett., 119, 056002 (2017)</w:t>
      </w:r>
    </w:p>
    <w:p xmlns:wp14="http://schemas.microsoft.com/office/word/2010/wordml" w14:paraId="2BC0C6D3" wp14:textId="77777777">
      <w:pPr>
        <w:pStyle w:val="Normal"/>
        <w:ind w:start="426" w:end="-2" w:hanging="426"/>
        <w:jc w:val="star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[2] S. Di Pino, Y. A. Perez Sirkin, U. N. Morzan, V. M. Sanchez, A. Hassanali and D. A. Scherlis, Angew. Chem. Int. Ed., 62, e202306526 (2023)</w:t>
      </w:r>
    </w:p>
    <w:p xmlns:wp14="http://schemas.microsoft.com/office/word/2010/wordml" w14:paraId="66C6228C" wp14:textId="77777777">
      <w:pPr>
        <w:pStyle w:val="Normal"/>
        <w:ind w:start="426" w:end="-2" w:hanging="426"/>
        <w:jc w:val="star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[</w:t>
      </w:r>
      <w:r>
        <w:rPr>
          <w:rFonts w:ascii="Times New Roman" w:hAnsi="Times New Roman" w:cs="Times New Roman"/>
          <w:lang w:val="en-GB"/>
        </w:rPr>
        <w:t>3</w:t>
      </w:r>
      <w:r>
        <w:rPr>
          <w:rFonts w:ascii="Times New Roman" w:hAnsi="Times New Roman" w:cs="Times New Roman"/>
          <w:lang w:val="en-GB"/>
        </w:rPr>
        <w:t>] S. Ruiz-Barragan, D. Muñoz-Santiburcio, S. Körning and D. Marx, Phys. Chem. Chem. Phys., 22,10833 (2020)</w:t>
      </w:r>
    </w:p>
    <w:p xmlns:wp14="http://schemas.microsoft.com/office/word/2010/wordml" w14:paraId="54D90E4D" wp14:textId="77777777">
      <w:pPr>
        <w:pStyle w:val="Normal"/>
        <w:ind w:start="426" w:end="-2" w:hanging="426"/>
        <w:jc w:val="star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[</w:t>
      </w:r>
      <w:r>
        <w:rPr>
          <w:rFonts w:ascii="Times New Roman" w:hAnsi="Times New Roman" w:cs="Times New Roman"/>
          <w:lang w:val="en-GB"/>
        </w:rPr>
        <w:t>4</w:t>
      </w:r>
      <w:r>
        <w:rPr>
          <w:rFonts w:ascii="Times New Roman" w:hAnsi="Times New Roman" w:cs="Times New Roman"/>
          <w:lang w:val="en-GB"/>
        </w:rPr>
        <w:t>] S. Ruiz-Barragan, H. Forbert and D. Marx, Phys. Chem. Chem. Phys., 25, 28119 (2023)</w:t>
      </w:r>
    </w:p>
    <w:p xmlns:wp14="http://schemas.microsoft.com/office/word/2010/wordml" w14:paraId="5A39BBE3" wp14:textId="77777777">
      <w:pPr>
        <w:pStyle w:val="Normal"/>
        <w:ind w:start="426" w:end="-2" w:hanging="426"/>
        <w:jc w:val="start"/>
        <w:rPr>
          <w:rFonts w:ascii="Times New Roman" w:hAnsi="Times New Roman" w:cs="Times New Roman"/>
          <w:color w:val="auto"/>
          <w:lang w:val="en-GB"/>
        </w:rPr>
      </w:pPr>
      <w:r>
        <w:rPr>
          <w:rFonts w:ascii="Times New Roman" w:hAnsi="Times New Roman" w:cs="Times New Roman"/>
          <w:color w:val="auto"/>
          <w:lang w:val="en-GB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 w:orient="portrait"/>
      <w:pgMar w:top="1134" w:right="1134" w:bottom="1134" w:left="1134" w:header="454" w:footer="0" w:gutter="113"/>
      <w:pgNumType w:fmt="decimal"/>
      <w:formProt w:val="false"/>
      <w:titlePg/>
      <w:textDirection w:val="lrTb"/>
      <w:docGrid w:type="default" w:linePitch="326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Palatino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1C8F396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2A3D3EC" wp14:textId="77777777"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10EDA4D" wp14:textId="77777777">
    <w:pPr>
      <w:pStyle w:val="Header"/>
      <w:jc w:val="center"/>
      <w:rPr>
        <w:rFonts w:ascii="Calibri" w:hAnsi="Calibri" w:cs="Times New Roman" w:asciiTheme="minorHAnsi" w:hAnsiTheme="minorHAnsi"/>
        <w:b/>
        <w:color w:val="7F7F7F" w:themeColor="text1" w:themeTint="80"/>
        <w:sz w:val="20"/>
        <w:szCs w:val="22"/>
      </w:rPr>
    </w:pPr>
    <w:r>
      <w:rPr>
        <w:rFonts w:ascii="Calibri" w:hAnsi="Calibri" w:cs="Times New Roman" w:asciiTheme="minorHAnsi" w:hAnsiTheme="minorHAnsi"/>
        <w:b/>
        <w:color w:val="7F7F7F" w:themeColor="text1" w:themeTint="80"/>
        <w:sz w:val="20"/>
        <w:szCs w:val="22"/>
      </w:rPr>
      <w:t>European Molecular Liquids Group and Japanese Molecular Liquids Group Annual Meeting (EMLG/JMLG 2026)</w:t>
    </w:r>
  </w:p>
  <w:p xmlns:wp14="http://schemas.microsoft.com/office/word/2010/wordml" w14:paraId="615FA384" wp14:textId="77777777">
    <w:pPr>
      <w:pStyle w:val="Header"/>
      <w:tabs>
        <w:tab w:val="clear" w:pos="4320"/>
        <w:tab w:val="right" w:leader="none" w:pos="8640"/>
      </w:tabs>
      <w:jc w:val="center"/>
      <w:rPr>
        <w:rFonts w:ascii="Calibri" w:hAnsi="Calibri" w:cs="Times New Roman" w:asciiTheme="minorHAnsi" w:hAnsiTheme="minorHAnsi"/>
        <w:b/>
        <w:color w:val="7F7F7F" w:themeColor="text1" w:themeTint="80"/>
        <w:sz w:val="20"/>
        <w:szCs w:val="22"/>
      </w:rPr>
    </w:pPr>
    <w:r>
      <w:rPr>
        <w:rFonts w:ascii="Calibri" w:hAnsi="Calibri" w:cs="Times New Roman" w:asciiTheme="minorHAnsi" w:hAnsiTheme="minorHAnsi"/>
        <w:b/>
        <w:color w:val="7F7F7F" w:themeColor="text1" w:themeTint="80"/>
        <w:sz w:val="20"/>
        <w:szCs w:val="22"/>
      </w:rPr>
      <w:t>Glasgow (UK), 31</w:t>
    </w:r>
    <w:r>
      <w:rPr>
        <w:rFonts w:ascii="Calibri" w:hAnsi="Calibri" w:cs="Times New Roman" w:asciiTheme="minorHAnsi" w:hAnsiTheme="minorHAnsi"/>
        <w:b/>
        <w:color w:val="7F7F7F" w:themeColor="text1" w:themeTint="80"/>
        <w:sz w:val="20"/>
        <w:szCs w:val="22"/>
        <w:vertAlign w:val="superscript"/>
      </w:rPr>
      <w:t>th</w:t>
    </w:r>
    <w:r>
      <w:rPr>
        <w:rFonts w:ascii="Calibri" w:hAnsi="Calibri" w:cs="Times New Roman" w:asciiTheme="minorHAnsi" w:hAnsiTheme="minorHAnsi"/>
        <w:b/>
        <w:color w:val="7F7F7F" w:themeColor="text1" w:themeTint="80"/>
        <w:sz w:val="20"/>
        <w:szCs w:val="22"/>
      </w:rPr>
      <w:t xml:space="preserve"> August – 4</w:t>
    </w:r>
    <w:r>
      <w:rPr>
        <w:rFonts w:ascii="Calibri" w:hAnsi="Calibri" w:cs="Times New Roman" w:asciiTheme="minorHAnsi" w:hAnsiTheme="minorHAnsi"/>
        <w:b/>
        <w:color w:val="7F7F7F" w:themeColor="text1" w:themeTint="80"/>
        <w:sz w:val="20"/>
        <w:szCs w:val="22"/>
        <w:vertAlign w:val="superscript"/>
      </w:rPr>
      <w:t>th</w:t>
    </w:r>
    <w:r>
      <w:rPr>
        <w:rFonts w:ascii="Calibri" w:hAnsi="Calibri" w:cs="Times New Roman" w:asciiTheme="minorHAnsi" w:hAnsiTheme="minorHAnsi"/>
        <w:b/>
        <w:color w:val="7F7F7F" w:themeColor="text1" w:themeTint="80"/>
        <w:sz w:val="20"/>
        <w:szCs w:val="22"/>
      </w:rPr>
      <w:t xml:space="preserve"> September, 2026</w:t>
    </w: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embedSystemFonts/>
  <w:trackRevisions w:val="false"/>
  <w:defaultTabStop w:val="708"/>
  <w:autoHyphenation w:val="true"/>
  <w:hyphenationZone w:val="425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  <w14:docId w14:val="2413D4FB"/>
  <w15:docId w15:val="{D0BEB5E2-B881-4ECD-8348-5EC4EBE01502}"/>
  <w:rsids>
    <w:rsidRoot w:val="011C3BA0"/>
    <w:rsid w:val="011C3BA0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SimSu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Palatino" w:hAnsi="Palatino" w:eastAsia="MS Mincho" w:cs="Palatino"/>
      <w:color w:val="000000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qFormat/>
    <w:rPr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locked/>
    <w:rPr>
      <w:rFonts w:ascii="Courier New" w:hAnsi="Courier New" w:eastAsia="MS Mincho" w:cs="Courier New"/>
      <w:color w:val="000000"/>
      <w:lang w:val="en-US" w:eastAsia="ja-JP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locked/>
    <w:rPr>
      <w:rFonts w:ascii="Palatino" w:hAnsi="Palatino" w:eastAsia="MS Mincho" w:cs="Palatino"/>
      <w:color w:val="000000"/>
      <w:sz w:val="16"/>
      <w:szCs w:val="16"/>
      <w:lang w:val="en-US" w:eastAsia="ja-JP"/>
    </w:rPr>
  </w:style>
  <w:style w:type="character" w:styleId="HeaderChar" w:customStyle="1">
    <w:name w:val="Header Char"/>
    <w:basedOn w:val="DefaultParagraphFont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FooterChar" w:customStyle="1">
    <w:name w:val="Footer Char"/>
    <w:basedOn w:val="DefaultParagraphFont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74257"/>
    <w:rPr>
      <w:rFonts w:cs="Times New Roman"/>
      <w:color w:val="605E5C"/>
      <w:shd w:val="clear" w:fill="E1DFDD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link w:val="BodyText2Char"/>
    <w:uiPriority w:val="99"/>
    <w:qFormat/>
    <w:pPr>
      <w:ind w:firstLine="284"/>
    </w:pPr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qFormat/>
    <w:pPr>
      <w:jc w:val="start"/>
    </w:pPr>
    <w:rPr>
      <w:rFonts w:ascii="Courier New" w:hAnsi="Courier New" w:cs="Courier New"/>
      <w:color w:val="auto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qFormat/>
    <w:pPr>
      <w:ind w:firstLine="284"/>
      <w:jc w:val="start"/>
    </w:pPr>
    <w:rPr>
      <w:b/>
      <w:bC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qFormat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paragraph" w:styleId="Capaleraipeudepgina">
    <w:name w:val="Capçalera i peu de pàgina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4528e"/>
    <w:pPr>
      <w:tabs>
        <w:tab w:val="clear" w:pos="708"/>
        <w:tab w:val="center" w:leader="none" w:pos="4320"/>
        <w:tab w:val="right" w:leader="none" w:pos="8640"/>
      </w:tabs>
    </w:pPr>
    <w:rPr/>
  </w:style>
  <w:style w:type="paragraph" w:styleId="Footer">
    <w:name w:val="footer"/>
    <w:basedOn w:val="Normal"/>
    <w:link w:val="FooterChar"/>
    <w:uiPriority w:val="99"/>
    <w:rsid w:val="00e4528e"/>
    <w:pPr>
      <w:tabs>
        <w:tab w:val="clear" w:pos="708"/>
        <w:tab w:val="center" w:leader="none" w:pos="4320"/>
        <w:tab w:val="right" w:leader="none" w:pos="8640"/>
      </w:tabs>
    </w:pPr>
    <w:rPr/>
  </w:style>
  <w:style w:type="numbering" w:styleId="Capllista" w:default="1">
    <w:name w:val="Cap llista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header" Target="header1.xml" Id="rId3" /><Relationship Type="http://schemas.openxmlformats.org/officeDocument/2006/relationships/header" Target="header2.xml" Id="rId4" /><Relationship Type="http://schemas.openxmlformats.org/officeDocument/2006/relationships/header" Target="header3.xml" Id="rId5" /><Relationship Type="http://schemas.openxmlformats.org/officeDocument/2006/relationships/fontTable" Target="fontTable.xml" Id="rId6" /><Relationship Type="http://schemas.openxmlformats.org/officeDocument/2006/relationships/settings" Target="settings.xml" Id="rId7" /><Relationship Type="http://schemas.openxmlformats.org/officeDocument/2006/relationships/theme" Target="theme/theme1.xml" Id="rId8" 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Company>ICPM-6</ap:Compan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2026-01-08T10:24:00.0000000Z</dcterms:created>
  <dc:creator>ICPM-6</dc:creator>
  <dc:description/>
  <dc:language>en-GB</dc:language>
  <lastModifiedBy>Miguel Jorge</lastModifiedBy>
  <lastPrinted>2016-01-14T19:34:00.0000000Z</lastPrinted>
  <dcterms:modified xsi:type="dcterms:W3CDTF">2026-08-13T17:50:17.1585608Z</dcterms:modified>
  <revision>4</revision>
  <dc:subject/>
  <dc:title>Abstract Template for 6th International Conference on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