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Times New Roman" w:hAnsi="Times New Roman" w:cs="Times New Roman"/>
          <w:sz w:val="32"/>
          <w:szCs w:val="32"/>
          <w:lang w:val="en-GB"/>
        </w:rPr>
      </w:pPr>
      <w:r>
        <w:rPr>
          <w:rFonts w:cs="Times New Roman" w:ascii="Times New Roman" w:hAnsi="Times New Roman"/>
          <w:b/>
          <w:bCs/>
          <w:sz w:val="32"/>
          <w:szCs w:val="32"/>
          <w:lang w:val="en-GB"/>
        </w:rPr>
        <w:t xml:space="preserve">Confined Binary Active Brownian Particles: Preferential Wall Accumulation and Correspondence with Equilibrium Fluid Mixtures </w:t>
      </w:r>
    </w:p>
    <w:p>
      <w:pPr>
        <w:pStyle w:val="Normal"/>
        <w:jc w:val="center"/>
        <w:rPr>
          <w:rFonts w:ascii="Times New Roman" w:hAnsi="Times New Roman" w:cs="Times New Roman"/>
          <w:sz w:val="20"/>
          <w:szCs w:val="20"/>
          <w:lang w:val="en-GB"/>
        </w:rPr>
      </w:pPr>
      <w:r>
        <w:rPr>
          <w:rFonts w:cs="Times New Roman" w:ascii="Times New Roman" w:hAnsi="Times New Roman"/>
          <w:sz w:val="20"/>
          <w:szCs w:val="20"/>
          <w:lang w:val="en-GB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lang w:val="en-GB"/>
        </w:rPr>
      </w:pPr>
      <w:r>
        <w:rPr>
          <w:rFonts w:cs="Times New Roman" w:ascii="Times New Roman" w:hAnsi="Times New Roman"/>
          <w:b/>
          <w:bCs/>
          <w:u w:val="single"/>
          <w:lang w:val="en-GB"/>
        </w:rPr>
        <w:t>K. Šindelka</w:t>
      </w:r>
      <w:r>
        <w:rPr>
          <w:rFonts w:cs="Times New Roman" w:ascii="Times New Roman" w:hAnsi="Times New Roman"/>
          <w:b/>
          <w:bCs/>
          <w:vertAlign w:val="superscript"/>
          <w:lang w:val="en-GB"/>
        </w:rPr>
        <w:t>1</w:t>
      </w:r>
      <w:r>
        <w:rPr>
          <w:rFonts w:cs="Times New Roman" w:ascii="Times New Roman" w:hAnsi="Times New Roman"/>
          <w:b/>
          <w:bCs/>
          <w:lang w:val="en-GB"/>
        </w:rPr>
        <w:t xml:space="preserve">,  </w:t>
      </w:r>
      <w:r>
        <w:rPr>
          <w:rFonts w:cs="Times New Roman" w:ascii="Times New Roman" w:hAnsi="Times New Roman"/>
          <w:b/>
          <w:bCs/>
          <w:lang w:val="en-GB"/>
        </w:rPr>
        <w:t>M. Lísal</w:t>
      </w:r>
      <w:r>
        <w:rPr>
          <w:rFonts w:cs="Times New Roman" w:ascii="Times New Roman" w:hAnsi="Times New Roman"/>
          <w:b/>
          <w:bCs/>
          <w:u w:val="none"/>
          <w:vertAlign w:val="superscript"/>
          <w:lang w:val="en-GB"/>
        </w:rPr>
        <w:t>1,2</w:t>
      </w:r>
    </w:p>
    <w:p>
      <w:pPr>
        <w:pStyle w:val="Normal"/>
        <w:jc w:val="center"/>
        <w:rPr>
          <w:rFonts w:ascii="Times New Roman" w:hAnsi="Times New Roman" w:cs="Times New Roman"/>
          <w:sz w:val="22"/>
          <w:szCs w:val="22"/>
          <w:lang w:val="en-GB"/>
        </w:rPr>
      </w:pPr>
      <w:r>
        <w:rPr>
          <w:rFonts w:cs="Times New Roman" w:ascii="Times New Roman" w:hAnsi="Times New Roman"/>
          <w:sz w:val="22"/>
          <w:szCs w:val="22"/>
          <w:vertAlign w:val="superscript"/>
          <w:lang w:val="en-GB"/>
        </w:rPr>
        <w:t>1</w:t>
      </w:r>
      <w:r>
        <w:rPr/>
        <w:t>Institute of Chemical Process Fundamentals, Czech Academy of Sciences, Prague, Czech Republic</w:t>
      </w:r>
    </w:p>
    <w:p>
      <w:pPr>
        <w:pStyle w:val="Normal"/>
        <w:jc w:val="center"/>
        <w:rPr>
          <w:rFonts w:ascii="Times New Roman" w:hAnsi="Times New Roman" w:cs="Times New Roman"/>
          <w:sz w:val="22"/>
          <w:szCs w:val="22"/>
          <w:lang w:val="en-GB"/>
        </w:rPr>
      </w:pPr>
      <w:r>
        <w:rPr>
          <w:rFonts w:cs="Times New Roman" w:ascii="Times New Roman" w:hAnsi="Times New Roman"/>
          <w:sz w:val="22"/>
          <w:szCs w:val="22"/>
          <w:vertAlign w:val="superscript"/>
          <w:lang w:val="en-GB"/>
        </w:rPr>
        <w:t>2</w:t>
      </w:r>
      <w:r>
        <w:rPr/>
        <w:t>Department of Physics, Faculty of Science, Jan Evangelista Purkyně University, Ústí nad Labem, Czech Republic</w:t>
      </w:r>
    </w:p>
    <w:p>
      <w:pPr>
        <w:pStyle w:val="Normal"/>
        <w:jc w:val="center"/>
        <w:rPr>
          <w:rFonts w:ascii="Times New Roman" w:hAnsi="Times New Roman" w:cs="Times New Roman"/>
          <w:sz w:val="22"/>
          <w:szCs w:val="22"/>
          <w:lang w:val="en-GB"/>
        </w:rPr>
      </w:pPr>
      <w:r>
        <w:rPr>
          <w:rFonts w:cs="Times New Roman" w:ascii="Times New Roman" w:hAnsi="Times New Roman"/>
          <w:sz w:val="22"/>
          <w:szCs w:val="22"/>
          <w:lang w:val="en-GB"/>
        </w:rPr>
        <w:t xml:space="preserve">e-mail: </w:t>
      </w:r>
      <w:hyperlink r:id="rId2">
        <w:r>
          <w:rPr>
            <w:rStyle w:val="Hyperlink"/>
            <w:rFonts w:cs="Times New Roman" w:ascii="Times New Roman" w:hAnsi="Times New Roman"/>
            <w:sz w:val="22"/>
            <w:szCs w:val="22"/>
            <w:lang w:val="en-GB"/>
          </w:rPr>
          <w:t>sindelka@icpf.cas.cz</w:t>
        </w:r>
      </w:hyperlink>
    </w:p>
    <w:p>
      <w:pPr>
        <w:pStyle w:val="Normal"/>
        <w:jc w:val="center"/>
        <w:rPr>
          <w:rFonts w:ascii="Times New Roman" w:hAnsi="Times New Roman" w:cs="Times New Roman"/>
          <w:sz w:val="22"/>
          <w:szCs w:val="22"/>
          <w:lang w:val="en-GB"/>
        </w:rPr>
      </w:pPr>
      <w:r>
        <w:rPr>
          <w:rFonts w:cs="Times New Roman" w:ascii="Times New Roman" w:hAnsi="Times New Roman"/>
          <w:sz w:val="22"/>
          <w:szCs w:val="22"/>
          <w:lang w:val="en-GB"/>
        </w:rPr>
      </w:r>
    </w:p>
    <w:p>
      <w:pPr>
        <w:pStyle w:val="Normal"/>
        <w:jc w:val="start"/>
        <w:rPr>
          <w:rFonts w:ascii="Times New Roman" w:hAnsi="Times New Roman" w:cs="Times New Roman"/>
          <w:sz w:val="22"/>
          <w:szCs w:val="22"/>
          <w:lang w:val="en-GB"/>
        </w:rPr>
      </w:pPr>
      <w:r>
        <w:rPr>
          <w:rFonts w:cs="Times New Roman" w:ascii="Times New Roman" w:hAnsi="Times New Roman"/>
          <w:sz w:val="22"/>
          <w:szCs w:val="22"/>
          <w:lang w:val="en-GB"/>
        </w:rPr>
        <w:t xml:space="preserve">Active Brownian particles (ABPs) </w:t>
      </w:r>
      <w:r>
        <w:rPr>
          <w:rFonts w:cs="Times New Roman" w:ascii="Times New Roman" w:hAnsi="Times New Roman"/>
          <w:sz w:val="22"/>
          <w:szCs w:val="22"/>
          <w:lang w:val="en-GB"/>
        </w:rPr>
        <w:t>serve as a generic model for synthetic active matter sy</w:t>
      </w:r>
      <w:r>
        <w:rPr>
          <w:rFonts w:cs="Times New Roman" w:ascii="Times New Roman" w:hAnsi="Times New Roman"/>
          <w:sz w:val="22"/>
          <w:szCs w:val="22"/>
          <w:lang w:val="en-GB"/>
        </w:rPr>
        <w:t>s</w:t>
      </w:r>
      <w:r>
        <w:rPr>
          <w:rFonts w:cs="Times New Roman" w:ascii="Times New Roman" w:hAnsi="Times New Roman"/>
          <w:sz w:val="22"/>
          <w:szCs w:val="22"/>
          <w:lang w:val="en-GB"/>
        </w:rPr>
        <w:t>tems such as</w:t>
      </w:r>
      <w:r>
        <w:rPr>
          <w:rFonts w:cs="Times New Roman" w:ascii="Times New Roman" w:hAnsi="Times New Roman"/>
          <w:sz w:val="22"/>
          <w:szCs w:val="22"/>
          <w:lang w:val="en-GB"/>
        </w:rPr>
        <w:t xml:space="preserve"> </w:t>
      </w:r>
      <w:r>
        <w:rPr>
          <w:rFonts w:cs="Times New Roman" w:ascii="Times New Roman" w:hAnsi="Times New Roman"/>
          <w:sz w:val="22"/>
          <w:szCs w:val="22"/>
          <w:lang w:val="en-GB"/>
        </w:rPr>
        <w:t>active</w:t>
      </w:r>
      <w:r>
        <w:rPr>
          <w:rFonts w:cs="Times New Roman" w:ascii="Times New Roman" w:hAnsi="Times New Roman"/>
          <w:sz w:val="22"/>
          <w:szCs w:val="22"/>
          <w:lang w:val="en-GB"/>
        </w:rPr>
        <w:t xml:space="preserve"> colloids </w:t>
      </w:r>
      <w:r>
        <w:rPr>
          <w:rFonts w:cs="Times New Roman" w:ascii="Times New Roman" w:hAnsi="Times New Roman"/>
          <w:sz w:val="22"/>
          <w:szCs w:val="22"/>
          <w:lang w:val="en-GB"/>
        </w:rPr>
        <w:t xml:space="preserve">which can self-propel while undergoing Brownian motion. Under confinement, ABPs exhibit propulsion-induced wall accumulation </w:t>
      </w:r>
      <w:r>
        <w:rPr>
          <w:rFonts w:cs="Times New Roman" w:ascii="Times New Roman" w:hAnsi="Times New Roman"/>
          <w:sz w:val="22"/>
          <w:szCs w:val="22"/>
          <w:lang w:val="en-GB"/>
        </w:rPr>
        <w:t>[1]</w:t>
      </w:r>
      <w:r>
        <w:rPr>
          <w:rFonts w:cs="Times New Roman" w:ascii="Times New Roman" w:hAnsi="Times New Roman"/>
          <w:sz w:val="22"/>
          <w:szCs w:val="22"/>
          <w:lang w:val="en-GB"/>
        </w:rPr>
        <w:t>, a fundamentally non-equil</w:t>
      </w:r>
      <w:r>
        <w:rPr>
          <w:rFonts w:cs="Times New Roman" w:ascii="Times New Roman" w:hAnsi="Times New Roman"/>
          <w:sz w:val="22"/>
          <w:szCs w:val="22"/>
          <w:lang w:val="en-GB"/>
        </w:rPr>
        <w:t>i</w:t>
      </w:r>
      <w:r>
        <w:rPr>
          <w:rFonts w:cs="Times New Roman" w:ascii="Times New Roman" w:hAnsi="Times New Roman"/>
          <w:sz w:val="22"/>
          <w:szCs w:val="22"/>
          <w:lang w:val="en-GB"/>
        </w:rPr>
        <w:t xml:space="preserve">brium behaviour with potential for practical applications such </w:t>
      </w:r>
      <w:r>
        <w:rPr>
          <w:rFonts w:cs="Times New Roman" w:ascii="Times New Roman" w:hAnsi="Times New Roman"/>
          <w:sz w:val="22"/>
          <w:szCs w:val="22"/>
          <w:lang w:val="en-GB"/>
        </w:rPr>
        <w:t>as</w:t>
      </w:r>
      <w:r>
        <w:rPr>
          <w:rFonts w:cs="Times New Roman" w:ascii="Times New Roman" w:hAnsi="Times New Roman"/>
          <w:sz w:val="22"/>
          <w:szCs w:val="22"/>
          <w:lang w:val="en-GB"/>
        </w:rPr>
        <w:t xml:space="preserve"> microfluidics or lab-on-chip devices</w:t>
      </w:r>
      <w:r>
        <w:rPr>
          <w:rFonts w:cs="Times New Roman" w:ascii="Times New Roman" w:hAnsi="Times New Roman"/>
          <w:sz w:val="22"/>
          <w:szCs w:val="22"/>
          <w:lang w:val="en-GB"/>
        </w:rPr>
        <w:t xml:space="preserve">. </w:t>
      </w:r>
      <w:r>
        <w:rPr>
          <w:rFonts w:cs="Times New Roman" w:ascii="Times New Roman" w:hAnsi="Times New Roman"/>
          <w:sz w:val="22"/>
          <w:szCs w:val="22"/>
          <w:lang w:val="en-GB"/>
        </w:rPr>
        <w:t>In multi-component systems, the wall accumulation is further influenced by differences in particle activities which introduce demixing and spatial heterogeneity.</w:t>
      </w:r>
    </w:p>
    <w:p>
      <w:pPr>
        <w:pStyle w:val="Normal"/>
        <w:jc w:val="start"/>
        <w:rPr>
          <w:rFonts w:ascii="Times New Roman" w:hAnsi="Times New Roman" w:cs="Times New Roman"/>
          <w:sz w:val="22"/>
          <w:szCs w:val="22"/>
          <w:lang w:val="en-GB"/>
        </w:rPr>
      </w:pPr>
      <w:r>
        <w:rPr>
          <w:rFonts w:cs="Times New Roman" w:ascii="Times New Roman" w:hAnsi="Times New Roman"/>
          <w:sz w:val="22"/>
          <w:szCs w:val="22"/>
          <w:lang w:val="en-GB"/>
        </w:rPr>
      </w:r>
    </w:p>
    <w:p>
      <w:pPr>
        <w:pStyle w:val="BodyText"/>
        <w:jc w:val="start"/>
        <w:rPr>
          <w:rFonts w:ascii="Times New Roman" w:hAnsi="Times New Roman" w:cs="Times New Roman"/>
          <w:sz w:val="22"/>
          <w:szCs w:val="22"/>
          <w:lang w:val="en-GB"/>
        </w:rPr>
      </w:pPr>
      <w:r>
        <w:rPr>
          <w:rFonts w:cs="Times New Roman" w:ascii="Times New Roman" w:hAnsi="Times New Roman"/>
          <w:sz w:val="22"/>
          <w:szCs w:val="22"/>
          <w:lang w:val="en-GB"/>
        </w:rPr>
        <w:t xml:space="preserve">We use overdamped Langevin dynamics to study equimolar binary ABP mixtures confined in slit pores, </w:t>
      </w:r>
      <w:r>
        <w:rPr>
          <w:rFonts w:cs="Times New Roman" w:ascii="Times New Roman" w:hAnsi="Times New Roman"/>
          <w:sz w:val="22"/>
          <w:szCs w:val="22"/>
          <w:lang w:val="en-GB"/>
        </w:rPr>
        <w:t>varying slit width, propulsion strength, and interaction asymmetry</w:t>
      </w:r>
      <w:r>
        <w:rPr>
          <w:rFonts w:cs="Times New Roman" w:ascii="Times New Roman" w:hAnsi="Times New Roman"/>
          <w:sz w:val="22"/>
          <w:szCs w:val="22"/>
          <w:lang w:val="en-GB"/>
        </w:rPr>
        <w:t>. Two mixtures are considered: equal s</w:t>
      </w:r>
      <w:r>
        <w:rPr>
          <w:rFonts w:cs="Times New Roman" w:ascii="Times New Roman" w:hAnsi="Times New Roman"/>
          <w:sz w:val="22"/>
          <w:szCs w:val="22"/>
          <w:lang w:val="en-GB"/>
        </w:rPr>
        <w:t>ize particles with</w:t>
      </w:r>
      <w:r>
        <w:rPr>
          <w:rFonts w:cs="Times New Roman" w:ascii="Times New Roman" w:hAnsi="Times New Roman"/>
          <w:sz w:val="22"/>
          <w:szCs w:val="22"/>
          <w:lang w:val="en-GB"/>
        </w:rPr>
        <w:t xml:space="preserve"> different softness (B1 </w:t>
      </w:r>
      <w:r>
        <w:rPr>
          <w:rFonts w:cs="Times New Roman" w:ascii="Times New Roman" w:hAnsi="Times New Roman"/>
          <w:sz w:val="22"/>
          <w:szCs w:val="22"/>
          <w:lang w:val="en-GB"/>
        </w:rPr>
        <w:t>mixture</w:t>
      </w:r>
      <w:r>
        <w:rPr>
          <w:rFonts w:cs="Times New Roman" w:ascii="Times New Roman" w:hAnsi="Times New Roman"/>
          <w:sz w:val="22"/>
          <w:szCs w:val="22"/>
          <w:lang w:val="en-GB"/>
        </w:rPr>
        <w:t xml:space="preserve">), and equal softness </w:t>
      </w:r>
      <w:r>
        <w:rPr>
          <w:rFonts w:cs="Times New Roman" w:ascii="Times New Roman" w:hAnsi="Times New Roman"/>
          <w:sz w:val="22"/>
          <w:szCs w:val="22"/>
          <w:lang w:val="en-GB"/>
        </w:rPr>
        <w:t>ones with</w:t>
      </w:r>
      <w:r>
        <w:rPr>
          <w:rFonts w:cs="Times New Roman" w:ascii="Times New Roman" w:hAnsi="Times New Roman"/>
          <w:sz w:val="22"/>
          <w:szCs w:val="22"/>
          <w:lang w:val="en-GB"/>
        </w:rPr>
        <w:t xml:space="preserve"> different size</w:t>
      </w:r>
      <w:r>
        <w:rPr>
          <w:rFonts w:cs="Times New Roman" w:ascii="Times New Roman" w:hAnsi="Times New Roman"/>
          <w:sz w:val="22"/>
          <w:szCs w:val="22"/>
          <w:lang w:val="en-GB"/>
        </w:rPr>
        <w:t>s</w:t>
      </w:r>
      <w:r>
        <w:rPr>
          <w:rFonts w:cs="Times New Roman" w:ascii="Times New Roman" w:hAnsi="Times New Roman"/>
          <w:sz w:val="22"/>
          <w:szCs w:val="22"/>
          <w:lang w:val="en-GB"/>
        </w:rPr>
        <w:t xml:space="preserve"> (B2 </w:t>
      </w:r>
      <w:r>
        <w:rPr>
          <w:rFonts w:cs="Times New Roman" w:ascii="Times New Roman" w:hAnsi="Times New Roman"/>
          <w:sz w:val="22"/>
          <w:szCs w:val="22"/>
          <w:lang w:val="en-GB"/>
        </w:rPr>
        <w:t>mixture</w:t>
      </w:r>
      <w:r>
        <w:rPr>
          <w:rFonts w:cs="Times New Roman" w:ascii="Times New Roman" w:hAnsi="Times New Roman"/>
          <w:sz w:val="22"/>
          <w:szCs w:val="22"/>
          <w:lang w:val="en-GB"/>
        </w:rPr>
        <w:t xml:space="preserve">), </w:t>
      </w:r>
      <w:r>
        <w:rPr>
          <w:rFonts w:cs="Times New Roman" w:ascii="Times New Roman" w:hAnsi="Times New Roman"/>
          <w:sz w:val="22"/>
          <w:szCs w:val="22"/>
          <w:lang w:val="en-GB"/>
        </w:rPr>
        <w:t>at</w:t>
      </w:r>
      <w:r>
        <w:rPr>
          <w:rFonts w:cs="Times New Roman" w:ascii="Times New Roman" w:hAnsi="Times New Roman"/>
          <w:sz w:val="22"/>
          <w:szCs w:val="22"/>
          <w:lang w:val="en-GB"/>
        </w:rPr>
        <w:t xml:space="preserve"> both gas-</w:t>
      </w:r>
      <w:r>
        <w:rPr>
          <w:rFonts w:cs="Times New Roman" w:ascii="Times New Roman" w:hAnsi="Times New Roman"/>
          <w:sz w:val="22"/>
          <w:szCs w:val="22"/>
          <w:lang w:val="en-GB"/>
        </w:rPr>
        <w:t>like and liquid-like densit</w:t>
      </w:r>
      <w:r>
        <w:rPr>
          <w:rFonts w:cs="Times New Roman" w:ascii="Times New Roman" w:hAnsi="Times New Roman"/>
          <w:sz w:val="22"/>
          <w:szCs w:val="22"/>
          <w:lang w:val="en-GB"/>
        </w:rPr>
        <w:t>i</w:t>
      </w:r>
      <w:r>
        <w:rPr>
          <w:rFonts w:cs="Times New Roman" w:ascii="Times New Roman" w:hAnsi="Times New Roman"/>
          <w:sz w:val="22"/>
          <w:szCs w:val="22"/>
          <w:lang w:val="en-GB"/>
        </w:rPr>
        <w:t>es</w:t>
      </w:r>
      <w:r>
        <w:rPr>
          <w:rFonts w:cs="Times New Roman" w:ascii="Times New Roman" w:hAnsi="Times New Roman"/>
          <w:sz w:val="22"/>
          <w:szCs w:val="22"/>
          <w:lang w:val="en-GB"/>
        </w:rPr>
        <w:t>.</w:t>
      </w:r>
    </w:p>
    <w:p>
      <w:pPr>
        <w:pStyle w:val="BodyText"/>
        <w:jc w:val="start"/>
        <w:rPr>
          <w:rFonts w:ascii="Times New Roman" w:hAnsi="Times New Roman" w:cs="Times New Roman"/>
          <w:sz w:val="22"/>
          <w:szCs w:val="22"/>
          <w:lang w:val="en-GB"/>
        </w:rPr>
      </w:pPr>
      <w:r>
        <w:rPr>
          <w:rFonts w:cs="Times New Roman" w:ascii="Times New Roman" w:hAnsi="Times New Roman"/>
          <w:sz w:val="22"/>
          <w:szCs w:val="22"/>
          <w:lang w:val="en-GB"/>
        </w:rPr>
        <w:t>T</w:t>
      </w:r>
      <w:r>
        <w:rPr>
          <w:rFonts w:cs="Times New Roman" w:ascii="Times New Roman" w:hAnsi="Times New Roman"/>
          <w:sz w:val="22"/>
          <w:szCs w:val="22"/>
          <w:lang w:val="en-GB"/>
        </w:rPr>
        <w:t xml:space="preserve">he ratio of slit width to persistence length </w:t>
      </w:r>
      <w:r>
        <w:rPr>
          <w:rFonts w:cs="Times New Roman" w:ascii="Times New Roman" w:hAnsi="Times New Roman"/>
          <w:sz w:val="22"/>
          <w:szCs w:val="22"/>
          <w:lang w:val="en-GB"/>
        </w:rPr>
        <w:t>(related to propulsion strength)</w:t>
      </w:r>
      <w:r>
        <w:rPr>
          <w:rFonts w:cs="Times New Roman" w:ascii="Times New Roman" w:hAnsi="Times New Roman"/>
          <w:sz w:val="22"/>
          <w:szCs w:val="22"/>
          <w:lang w:val="en-GB"/>
        </w:rPr>
        <w:t xml:space="preserve"> </w:t>
      </w:r>
      <w:r>
        <w:rPr>
          <w:rFonts w:cs="Times New Roman" w:ascii="Times New Roman" w:hAnsi="Times New Roman"/>
          <w:sz w:val="22"/>
          <w:szCs w:val="22"/>
          <w:lang w:val="en-GB"/>
        </w:rPr>
        <w:t>governs the wall accumulation behaviour</w:t>
      </w:r>
      <w:r>
        <w:rPr>
          <w:rFonts w:cs="Times New Roman" w:ascii="Times New Roman" w:hAnsi="Times New Roman"/>
          <w:sz w:val="22"/>
          <w:szCs w:val="22"/>
          <w:lang w:val="en-GB"/>
        </w:rPr>
        <w:t xml:space="preserve">. In B1 </w:t>
      </w:r>
      <w:r>
        <w:rPr>
          <w:rFonts w:cs="Times New Roman" w:ascii="Times New Roman" w:hAnsi="Times New Roman"/>
          <w:sz w:val="22"/>
          <w:szCs w:val="22"/>
          <w:lang w:val="en-GB"/>
        </w:rPr>
        <w:t>mixtures</w:t>
      </w:r>
      <w:r>
        <w:rPr>
          <w:rFonts w:cs="Times New Roman" w:ascii="Times New Roman" w:hAnsi="Times New Roman"/>
          <w:sz w:val="22"/>
          <w:szCs w:val="22"/>
          <w:lang w:val="en-GB"/>
        </w:rPr>
        <w:t xml:space="preserve">, </w:t>
      </w:r>
      <w:r>
        <w:rPr>
          <w:rFonts w:cs="Times New Roman" w:ascii="Times New Roman" w:hAnsi="Times New Roman"/>
          <w:sz w:val="22"/>
          <w:szCs w:val="22"/>
          <w:lang w:val="en-GB"/>
        </w:rPr>
        <w:t>overlapping wall-density peaks induce strong local crowding at higher</w:t>
      </w:r>
      <w:r>
        <w:rPr>
          <w:rFonts w:cs="Times New Roman" w:ascii="Times New Roman" w:hAnsi="Times New Roman"/>
          <w:sz w:val="22"/>
          <w:szCs w:val="22"/>
          <w:lang w:val="en-GB"/>
        </w:rPr>
        <w:t xml:space="preserve"> activities, driving confined or surface motility-induced phase separation (MIPS). In B2 </w:t>
      </w:r>
      <w:r>
        <w:rPr>
          <w:rFonts w:cs="Times New Roman" w:ascii="Times New Roman" w:hAnsi="Times New Roman"/>
          <w:sz w:val="22"/>
          <w:szCs w:val="22"/>
          <w:lang w:val="en-GB"/>
        </w:rPr>
        <w:t>mixtures</w:t>
      </w:r>
      <w:r>
        <w:rPr>
          <w:rFonts w:cs="Times New Roman" w:ascii="Times New Roman" w:hAnsi="Times New Roman"/>
          <w:sz w:val="22"/>
          <w:szCs w:val="22"/>
          <w:lang w:val="en-GB"/>
        </w:rPr>
        <w:t xml:space="preserve">, </w:t>
      </w:r>
      <w:r>
        <w:rPr>
          <w:rFonts w:cs="Times New Roman" w:ascii="Times New Roman" w:hAnsi="Times New Roman"/>
          <w:sz w:val="22"/>
          <w:szCs w:val="22"/>
          <w:lang w:val="en-GB"/>
        </w:rPr>
        <w:t>spatially shifted</w:t>
      </w:r>
      <w:r>
        <w:rPr>
          <w:rFonts w:cs="Times New Roman" w:ascii="Times New Roman" w:hAnsi="Times New Roman"/>
          <w:sz w:val="22"/>
          <w:szCs w:val="22"/>
          <w:lang w:val="en-GB"/>
        </w:rPr>
        <w:t xml:space="preserve"> density peaks </w:t>
      </w:r>
      <w:r>
        <w:rPr>
          <w:rFonts w:cs="Times New Roman" w:ascii="Times New Roman" w:hAnsi="Times New Roman"/>
          <w:sz w:val="22"/>
          <w:szCs w:val="22"/>
          <w:lang w:val="en-GB"/>
        </w:rPr>
        <w:t>of smaller and larger particles</w:t>
      </w:r>
      <w:r>
        <w:rPr>
          <w:rFonts w:cs="Times New Roman" w:ascii="Times New Roman" w:hAnsi="Times New Roman"/>
          <w:sz w:val="22"/>
          <w:szCs w:val="22"/>
          <w:lang w:val="en-GB"/>
        </w:rPr>
        <w:t xml:space="preserve"> suppress MIPS in favour of compositionally distinct multi-layer structures, with smaller particles preferentially occupying the innermost wall layer.</w:t>
      </w:r>
    </w:p>
    <w:p>
      <w:pPr>
        <w:pStyle w:val="BodyText"/>
        <w:jc w:val="start"/>
        <w:rPr>
          <w:rFonts w:ascii="Times New Roman" w:hAnsi="Times New Roman" w:cs="Times New Roman"/>
          <w:sz w:val="22"/>
          <w:szCs w:val="22"/>
          <w:lang w:val="en-GB"/>
        </w:rPr>
      </w:pPr>
      <w:r>
        <w:rPr>
          <w:rFonts w:cs="Times New Roman" w:ascii="Times New Roman" w:hAnsi="Times New Roman"/>
          <w:sz w:val="22"/>
          <w:szCs w:val="22"/>
          <w:lang w:val="en-GB"/>
        </w:rPr>
        <w:t xml:space="preserve">Direct comparison with equilibrium Lennard-Jones fluid mixtures shows that ABP wall enrichment requires no attractive particle-wall interactions, is tunable by propulsion, and generates </w:t>
      </w:r>
      <w:r>
        <w:rPr>
          <w:rFonts w:cs="Times New Roman" w:ascii="Times New Roman" w:hAnsi="Times New Roman"/>
          <w:sz w:val="22"/>
          <w:szCs w:val="22"/>
          <w:lang w:val="en-GB"/>
        </w:rPr>
        <w:t xml:space="preserve">substantially larger </w:t>
      </w:r>
      <w:r>
        <w:rPr>
          <w:rFonts w:cs="Times New Roman" w:ascii="Times New Roman" w:hAnsi="Times New Roman"/>
          <w:sz w:val="22"/>
          <w:szCs w:val="22"/>
          <w:lang w:val="en-GB"/>
        </w:rPr>
        <w:t>wall pressures than those in adsorbed fluids. These results advance understanding of demixing and self-organisation in confined active colloidal systems, with implications for microfluidic particle sorting.</w:t>
      </w:r>
    </w:p>
    <w:p>
      <w:pPr>
        <w:pStyle w:val="Normal"/>
        <w:jc w:val="start"/>
        <w:rPr>
          <w:rFonts w:ascii="Times New Roman" w:hAnsi="Times New Roman" w:cs="Times New Roman"/>
          <w:lang w:val="en-GB"/>
        </w:rPr>
      </w:pPr>
      <w:r>
        <w:rPr>
          <w:rFonts w:eastAsia="Times New Roman" w:cs="Times New Roman" w:ascii="Times New Roman" w:hAnsi="Times New Roman"/>
          <w:b/>
          <w:bCs/>
          <w:color w:val="auto"/>
          <w:sz w:val="24"/>
          <w:szCs w:val="24"/>
          <w:lang w:val="en-GB" w:eastAsia="en-GB"/>
        </w:rPr>
      </w:r>
    </w:p>
    <w:p>
      <w:pPr>
        <w:pStyle w:val="Normal"/>
        <w:jc w:val="start"/>
        <w:rPr>
          <w:rFonts w:ascii="Times New Roman" w:hAnsi="Times New Roman" w:cs="Times New Roman"/>
          <w:lang w:val="en-GB"/>
        </w:rPr>
      </w:pPr>
      <w:r>
        <w:rPr>
          <w:rFonts w:cs="Times New Roman" w:ascii="Times New Roman" w:hAnsi="Times New Roman"/>
          <w:b/>
          <w:bCs/>
          <w:lang w:val="en-GB"/>
        </w:rPr>
        <w:t>References</w:t>
      </w:r>
    </w:p>
    <w:p>
      <w:pPr>
        <w:pStyle w:val="Normal"/>
        <w:ind w:hanging="426" w:start="426" w:end="-2"/>
        <w:jc w:val="start"/>
        <w:rPr>
          <w:rFonts w:ascii="Times New Roman" w:hAnsi="Times New Roman" w:cs="Times New Roman"/>
          <w:lang w:val="en-GB"/>
        </w:rPr>
      </w:pPr>
      <w:r>
        <w:rPr>
          <w:rFonts w:cs="Times New Roman" w:ascii="Times New Roman" w:hAnsi="Times New Roman"/>
          <w:lang w:val="en-GB"/>
        </w:rPr>
      </w:r>
    </w:p>
    <w:p>
      <w:pPr>
        <w:pStyle w:val="Normal"/>
        <w:ind w:hanging="426" w:start="426" w:end="-2"/>
        <w:jc w:val="start"/>
        <w:rPr>
          <w:rFonts w:ascii="Times New Roman" w:hAnsi="Times New Roman" w:cs="Times New Roman"/>
          <w:lang w:val="en-GB"/>
        </w:rPr>
      </w:pPr>
      <w:r>
        <w:rPr>
          <w:rFonts w:cs="Times New Roman" w:ascii="Times New Roman" w:hAnsi="Times New Roman"/>
          <w:lang w:val="en-GB"/>
        </w:rPr>
        <w:t xml:space="preserve">[1] K. Šindelka, A. Gadermeteva, M. Lísal, Soft Matter, </w:t>
      </w:r>
      <w:r>
        <w:rPr>
          <w:rFonts w:cs="Times New Roman" w:ascii="Times New Roman" w:hAnsi="Times New Roman"/>
          <w:b w:val="false"/>
          <w:bCs w:val="false"/>
          <w:lang w:val="en-GB"/>
        </w:rPr>
        <w:t>21</w:t>
      </w:r>
      <w:r>
        <w:rPr>
          <w:rFonts w:cs="Times New Roman" w:ascii="Times New Roman" w:hAnsi="Times New Roman"/>
          <w:lang w:val="en-GB"/>
        </w:rPr>
        <w:t>, 7544-7564 (2021).</w:t>
      </w:r>
    </w:p>
    <w:sectPr>
      <w:headerReference w:type="even" r:id="rId3"/>
      <w:headerReference w:type="default" r:id="rId4"/>
      <w:headerReference w:type="first" r:id="rId5"/>
      <w:type w:val="nextPage"/>
      <w:pgSz w:w="11906" w:h="16838"/>
      <w:pgMar w:left="1134" w:right="1134" w:gutter="113" w:header="454" w:top="1134" w:footer="0" w:bottom="1134"/>
      <w:pgNumType w:fmt="decimal"/>
      <w:formProt w:val="false"/>
      <w:titlePg/>
      <w:textDirection w:val="lrTb"/>
      <w:docGrid w:type="default" w:linePitch="326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Palatino">
    <w:charset w:val="01" w:characterSet="utf-8"/>
    <w:family w:val="roman"/>
    <w:pitch w:val="variable"/>
  </w:font>
  <w:font w:name="Courier New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alibri">
    <w:charset w:val="01" w:characterSet="utf-8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>
        <w:rFonts w:ascii="Calibri" w:hAnsi="Calibri" w:cs="Times New Roman" w:asciiTheme="minorHAnsi" w:hAnsiTheme="minorHAnsi"/>
        <w:b/>
        <w:color w:themeColor="text1" w:themeTint="80" w:val="7F7F7F"/>
        <w:sz w:val="20"/>
        <w:szCs w:val="22"/>
      </w:rPr>
    </w:pPr>
    <w:r>
      <w:rPr>
        <w:rFonts w:cs="Times New Roman" w:ascii="Calibri" w:hAnsi="Calibri" w:asciiTheme="minorHAnsi" w:hAnsiTheme="minorHAnsi"/>
        <w:b/>
        <w:color w:themeColor="text1" w:themeTint="80" w:val="7F7F7F"/>
        <w:sz w:val="20"/>
        <w:szCs w:val="22"/>
      </w:rPr>
      <w:t>European Molecular Liquids Group and Japanese Molecular Liquids Group Annual Meeting (EMLG/JMLG 2026)</w:t>
    </w:r>
  </w:p>
  <w:p>
    <w:pPr>
      <w:pStyle w:val="Header"/>
      <w:tabs>
        <w:tab w:val="clear" w:pos="4320"/>
      </w:tabs>
      <w:jc w:val="center"/>
      <w:rPr>
        <w:rFonts w:ascii="Calibri" w:hAnsi="Calibri" w:cs="Times New Roman" w:asciiTheme="minorHAnsi" w:hAnsiTheme="minorHAnsi"/>
        <w:b/>
        <w:color w:themeColor="text1" w:themeTint="80" w:val="7F7F7F"/>
        <w:sz w:val="20"/>
        <w:szCs w:val="22"/>
      </w:rPr>
    </w:pPr>
    <w:r>
      <w:rPr>
        <w:rFonts w:cs="Times New Roman" w:ascii="Calibri" w:hAnsi="Calibri" w:asciiTheme="minorHAnsi" w:hAnsiTheme="minorHAnsi"/>
        <w:b/>
        <w:color w:themeColor="text1" w:themeTint="80" w:val="7F7F7F"/>
        <w:sz w:val="20"/>
        <w:szCs w:val="22"/>
      </w:rPr>
      <w:t>Glasgow (UK), 31</w:t>
    </w:r>
    <w:r>
      <w:rPr>
        <w:rFonts w:cs="Times New Roman" w:ascii="Calibri" w:hAnsi="Calibri" w:asciiTheme="minorHAnsi" w:hAnsiTheme="minorHAnsi"/>
        <w:b/>
        <w:color w:themeColor="text1" w:themeTint="80" w:val="7F7F7F"/>
        <w:sz w:val="20"/>
        <w:szCs w:val="22"/>
        <w:vertAlign w:val="superscript"/>
      </w:rPr>
      <w:t>th</w:t>
    </w:r>
    <w:r>
      <w:rPr>
        <w:rFonts w:cs="Times New Roman" w:ascii="Calibri" w:hAnsi="Calibri" w:asciiTheme="minorHAnsi" w:hAnsiTheme="minorHAnsi"/>
        <w:b/>
        <w:color w:themeColor="text1" w:themeTint="80" w:val="7F7F7F"/>
        <w:sz w:val="20"/>
        <w:szCs w:val="22"/>
      </w:rPr>
      <w:t xml:space="preserve"> August – 4</w:t>
    </w:r>
    <w:r>
      <w:rPr>
        <w:rFonts w:cs="Times New Roman" w:ascii="Calibri" w:hAnsi="Calibri" w:asciiTheme="minorHAnsi" w:hAnsiTheme="minorHAnsi"/>
        <w:b/>
        <w:color w:themeColor="text1" w:themeTint="80" w:val="7F7F7F"/>
        <w:sz w:val="20"/>
        <w:szCs w:val="22"/>
        <w:vertAlign w:val="superscript"/>
      </w:rPr>
      <w:t>th</w:t>
    </w:r>
    <w:r>
      <w:rPr>
        <w:rFonts w:cs="Times New Roman" w:ascii="Calibri" w:hAnsi="Calibri" w:asciiTheme="minorHAnsi" w:hAnsiTheme="minorHAnsi"/>
        <w:b/>
        <w:color w:themeColor="text1" w:themeTint="80" w:val="7F7F7F"/>
        <w:sz w:val="20"/>
        <w:szCs w:val="22"/>
      </w:rPr>
      <w:t xml:space="preserve"> September, 2026</w:t>
    </w:r>
  </w:p>
</w:hdr>
</file>

<file path=word/settings.xml><?xml version="1.0" encoding="utf-8"?>
<w:settings xmlns:w="http://schemas.openxmlformats.org/wordprocessingml/2006/main">
  <w:zoom w:percent="100"/>
  <w:embedSystemFonts/>
  <w:defaultTabStop w:val="708"/>
  <w:autoHyphenation w:val="true"/>
  <w:hyphenationZone w:val="425"/>
  <w:doNotHyphenateCaps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en-GB" w:eastAsia="en-GB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both"/>
    </w:pPr>
    <w:rPr>
      <w:rFonts w:ascii="Palatino" w:hAnsi="Palatino" w:eastAsia="MS Mincho" w:cs="Palatino"/>
      <w:color w:val="000000"/>
      <w:kern w:val="0"/>
      <w:sz w:val="24"/>
      <w:szCs w:val="24"/>
      <w:lang w:val="en-US" w:eastAsia="ja-JP" w:bidi="ar-SA"/>
    </w:rPr>
  </w:style>
  <w:style w:type="character" w:styleId="DefaultParagraphFont" w:default="1">
    <w:name w:val="Default Paragraph Font"/>
    <w:uiPriority w:val="1"/>
    <w:semiHidden/>
    <w:qFormat/>
    <w:rPr/>
  </w:style>
  <w:style w:type="character" w:styleId="Hyperlink">
    <w:name w:val="Hyperlink"/>
    <w:basedOn w:val="DefaultParagraphFont"/>
    <w:uiPriority w:val="99"/>
    <w:rPr>
      <w:rFonts w:ascii="Times New Roman" w:hAnsi="Times New Roman" w:cs="Times New Roman"/>
      <w:color w:val="0000FF"/>
      <w:u w:val="single"/>
    </w:rPr>
  </w:style>
  <w:style w:type="character" w:styleId="BodyText2Char" w:customStyle="1">
    <w:name w:val="Body Text 2 Char"/>
    <w:basedOn w:val="DefaultParagraphFont"/>
    <w:link w:val="BodyText2"/>
    <w:uiPriority w:val="99"/>
    <w:semiHidden/>
    <w:qFormat/>
    <w:locked/>
    <w:rPr>
      <w:rFonts w:ascii="Palatino" w:hAnsi="Palatino" w:eastAsia="MS Mincho" w:cs="Palatino"/>
      <w:color w:val="000000"/>
      <w:sz w:val="24"/>
      <w:szCs w:val="24"/>
      <w:lang w:val="en-US" w:eastAsia="ja-JP"/>
    </w:rPr>
  </w:style>
  <w:style w:type="character" w:styleId="PlainTextChar" w:customStyle="1">
    <w:name w:val="Plain Text Char"/>
    <w:basedOn w:val="DefaultParagraphFont"/>
    <w:link w:val="PlainText"/>
    <w:uiPriority w:val="99"/>
    <w:semiHidden/>
    <w:qFormat/>
    <w:locked/>
    <w:rPr>
      <w:rFonts w:ascii="Courier New" w:hAnsi="Courier New" w:eastAsia="MS Mincho" w:cs="Courier New"/>
      <w:color w:val="000000"/>
      <w:lang w:val="en-US" w:eastAsia="ja-JP"/>
    </w:rPr>
  </w:style>
  <w:style w:type="character" w:styleId="BodyTextIndent2Char" w:customStyle="1">
    <w:name w:val="Body Text Indent 2 Char"/>
    <w:basedOn w:val="DefaultParagraphFont"/>
    <w:link w:val="BodyTextIndent2"/>
    <w:uiPriority w:val="99"/>
    <w:semiHidden/>
    <w:qFormat/>
    <w:locked/>
    <w:rPr>
      <w:rFonts w:ascii="Palatino" w:hAnsi="Palatino" w:eastAsia="MS Mincho" w:cs="Palatino"/>
      <w:color w:val="000000"/>
      <w:sz w:val="24"/>
      <w:szCs w:val="24"/>
      <w:lang w:val="en-US" w:eastAsia="ja-JP"/>
    </w:rPr>
  </w:style>
  <w:style w:type="character" w:styleId="BodyTextIndent3Char" w:customStyle="1">
    <w:name w:val="Body Text Indent 3 Char"/>
    <w:basedOn w:val="DefaultParagraphFont"/>
    <w:link w:val="BodyTextIndent3"/>
    <w:uiPriority w:val="99"/>
    <w:semiHidden/>
    <w:qFormat/>
    <w:locked/>
    <w:rPr>
      <w:rFonts w:ascii="Palatino" w:hAnsi="Palatino" w:eastAsia="MS Mincho" w:cs="Palatino"/>
      <w:color w:val="000000"/>
      <w:sz w:val="16"/>
      <w:szCs w:val="16"/>
      <w:lang w:val="en-US" w:eastAsia="ja-JP"/>
    </w:rPr>
  </w:style>
  <w:style w:type="character" w:styleId="HeaderChar" w:customStyle="1">
    <w:name w:val="Header Char"/>
    <w:basedOn w:val="DefaultParagraphFont"/>
    <w:link w:val="Header"/>
    <w:uiPriority w:val="99"/>
    <w:semiHidden/>
    <w:qFormat/>
    <w:locked/>
    <w:rPr>
      <w:rFonts w:ascii="Palatino" w:hAnsi="Palatino" w:eastAsia="MS Mincho" w:cs="Palatino"/>
      <w:color w:val="000000"/>
      <w:sz w:val="24"/>
      <w:szCs w:val="24"/>
      <w:lang w:val="en-US" w:eastAsia="ja-JP"/>
    </w:rPr>
  </w:style>
  <w:style w:type="character" w:styleId="FooterChar" w:customStyle="1">
    <w:name w:val="Footer Char"/>
    <w:basedOn w:val="DefaultParagraphFont"/>
    <w:link w:val="Footer"/>
    <w:uiPriority w:val="99"/>
    <w:semiHidden/>
    <w:qFormat/>
    <w:locked/>
    <w:rPr>
      <w:rFonts w:ascii="Palatino" w:hAnsi="Palatino" w:eastAsia="MS Mincho" w:cs="Palatino"/>
      <w:color w:val="000000"/>
      <w:sz w:val="24"/>
      <w:szCs w:val="24"/>
      <w:lang w:val="en-US" w:eastAsia="ja-JP"/>
    </w:rPr>
  </w:style>
  <w:style w:type="character" w:styleId="PageNumber">
    <w:name w:val="page number"/>
    <w:basedOn w:val="DefaultParagraphFont"/>
    <w:uiPriority w:val="99"/>
    <w:rsid w:val="00e4528e"/>
    <w:rPr>
      <w:rFonts w:cs="Times New Roman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274257"/>
    <w:rPr>
      <w:rFonts w:cs="Times New Roman"/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odyText2">
    <w:name w:val="Body Text 2"/>
    <w:basedOn w:val="Normal"/>
    <w:link w:val="BodyText2Char"/>
    <w:uiPriority w:val="99"/>
    <w:qFormat/>
    <w:pPr>
      <w:ind w:firstLine="284"/>
    </w:pPr>
    <w:rPr>
      <w:sz w:val="22"/>
      <w:szCs w:val="22"/>
    </w:rPr>
  </w:style>
  <w:style w:type="paragraph" w:styleId="PlainText">
    <w:name w:val="Plain Text"/>
    <w:basedOn w:val="Normal"/>
    <w:link w:val="PlainTextChar"/>
    <w:uiPriority w:val="99"/>
    <w:qFormat/>
    <w:pPr>
      <w:jc w:val="start"/>
    </w:pPr>
    <w:rPr>
      <w:rFonts w:ascii="Courier New" w:hAnsi="Courier New" w:cs="Courier New"/>
      <w:color w:val="auto"/>
      <w:sz w:val="20"/>
      <w:szCs w:val="20"/>
    </w:rPr>
  </w:style>
  <w:style w:type="paragraph" w:styleId="BodyTextIndent2">
    <w:name w:val="Body Text Indent 2"/>
    <w:basedOn w:val="Normal"/>
    <w:link w:val="BodyTextIndent2Char"/>
    <w:uiPriority w:val="99"/>
    <w:qFormat/>
    <w:pPr>
      <w:ind w:firstLine="284"/>
      <w:jc w:val="start"/>
    </w:pPr>
    <w:rPr>
      <w:b/>
      <w:bCs/>
      <w:sz w:val="22"/>
      <w:szCs w:val="22"/>
    </w:rPr>
  </w:style>
  <w:style w:type="paragraph" w:styleId="BodyTextIndent3">
    <w:name w:val="Body Text Indent 3"/>
    <w:basedOn w:val="Normal"/>
    <w:link w:val="BodyTextIndent3Char"/>
    <w:uiPriority w:val="99"/>
    <w:qFormat/>
    <w:pPr>
      <w:ind w:firstLine="284"/>
    </w:pPr>
    <w:rPr>
      <w:rFonts w:ascii="Times New Roman" w:hAnsi="Times New Roman" w:cs="Times New Roman"/>
      <w:b/>
      <w:bCs/>
      <w:sz w:val="22"/>
      <w:szCs w:val="22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rsid w:val="00e4528e"/>
    <w:pPr>
      <w:tabs>
        <w:tab w:val="clear" w:pos="708"/>
        <w:tab w:val="center" w:pos="4320" w:leader="none"/>
        <w:tab w:val="right" w:pos="8640" w:leader="none"/>
      </w:tabs>
    </w:pPr>
    <w:rPr/>
  </w:style>
  <w:style w:type="paragraph" w:styleId="Footer">
    <w:name w:val="footer"/>
    <w:basedOn w:val="Normal"/>
    <w:link w:val="FooterChar"/>
    <w:uiPriority w:val="99"/>
    <w:rsid w:val="00e4528e"/>
    <w:pPr>
      <w:tabs>
        <w:tab w:val="clear" w:pos="708"/>
        <w:tab w:val="center" w:pos="4320" w:leader="none"/>
        <w:tab w:val="right" w:pos="8640" w:leader="none"/>
      </w:tabs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sindelka@icpf.cas.cz" TargetMode="External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hèm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Application>LibreOffice/26.2.3.2$Linux_X86_64 LibreOffice_project/620$Build-2</Application>
  <AppVersion>15.0000</AppVersion>
  <Pages>1</Pages>
  <Words>317</Words>
  <Characters>2137</Characters>
  <CharactersWithSpaces>2444</CharactersWithSpaces>
  <Paragraphs>13</Paragraphs>
  <Company>ICPM-6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2026-01-08T10:24:00Z</dcterms:created>
  <dc:creator>ICPM-6</dc:creator>
  <dc:description/>
  <dc:language>en-GB</dc:language>
  <cp:lastModifiedBy/>
  <cp:lastPrinted>2016-01-14T19:34:00Z</cp:lastPrinted>
  <dcterms:modified xsi:type="dcterms:W3CDTF">2026-05-14T12:37:57Z</dcterms:modified>
  <cp:revision>3</cp:revision>
  <dc:subject/>
  <dc:title>Abstract Template for 6th International Conference on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