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2929B0" w14:textId="744A45E6" w:rsidR="00455BDA" w:rsidRPr="00414C25" w:rsidRDefault="009E0690">
      <w:pPr>
        <w:jc w:val="center"/>
        <w:rPr>
          <w:rFonts w:ascii="Times New Roman" w:hAnsi="Times New Roman" w:cs="Times New Roman"/>
          <w:sz w:val="20"/>
          <w:szCs w:val="20"/>
          <w:lang w:val="en-GB"/>
        </w:rPr>
      </w:pPr>
      <w:r w:rsidRPr="009E0690">
        <w:rPr>
          <w:rFonts w:ascii="Times New Roman" w:hAnsi="Times New Roman" w:cs="Times New Roman"/>
          <w:b/>
          <w:bCs/>
          <w:sz w:val="32"/>
          <w:szCs w:val="32"/>
          <w:lang w:val="en-GB"/>
        </w:rPr>
        <w:t>A metastable phase of amorphous aggregates governs solution structure</w:t>
      </w:r>
    </w:p>
    <w:p w14:paraId="14311D6E" w14:textId="7AC2C01E" w:rsidR="00455BDA" w:rsidRPr="00414C25" w:rsidRDefault="009E0690">
      <w:pPr>
        <w:jc w:val="center"/>
        <w:rPr>
          <w:rFonts w:ascii="Times New Roman" w:hAnsi="Times New Roman" w:cs="Times New Roman"/>
          <w:b/>
          <w:bCs/>
          <w:lang w:val="en-GB"/>
        </w:rPr>
      </w:pPr>
      <w:r w:rsidRPr="009E0690">
        <w:rPr>
          <w:rFonts w:ascii="Times New Roman" w:hAnsi="Times New Roman" w:cs="Times New Roman"/>
          <w:b/>
          <w:bCs/>
          <w:lang w:val="en-GB"/>
        </w:rPr>
        <w:t>Zhiyu Liao,</w:t>
      </w:r>
      <w:r w:rsidRPr="009E0690">
        <w:rPr>
          <w:rFonts w:ascii="Times New Roman" w:hAnsi="Times New Roman" w:cs="Times New Roman"/>
          <w:b/>
          <w:bCs/>
          <w:vertAlign w:val="superscript"/>
          <w:lang w:val="en-GB"/>
        </w:rPr>
        <w:t>1</w:t>
      </w:r>
      <w:r w:rsidRPr="009E0690">
        <w:rPr>
          <w:rFonts w:ascii="Times New Roman" w:hAnsi="Times New Roman" w:cs="Times New Roman"/>
          <w:b/>
          <w:bCs/>
          <w:lang w:val="en-GB"/>
        </w:rPr>
        <w:t xml:space="preserve"> Ankita Das,</w:t>
      </w:r>
      <w:r w:rsidRPr="009E0690">
        <w:rPr>
          <w:rFonts w:ascii="Times New Roman" w:hAnsi="Times New Roman" w:cs="Times New Roman"/>
          <w:b/>
          <w:bCs/>
          <w:vertAlign w:val="superscript"/>
          <w:lang w:val="en-GB"/>
        </w:rPr>
        <w:t>1</w:t>
      </w:r>
      <w:r w:rsidRPr="009E0690">
        <w:rPr>
          <w:rFonts w:ascii="Times New Roman" w:hAnsi="Times New Roman" w:cs="Times New Roman"/>
          <w:b/>
          <w:bCs/>
          <w:lang w:val="en-GB"/>
        </w:rPr>
        <w:t xml:space="preserve"> Ben A. Russell,</w:t>
      </w:r>
      <w:r w:rsidRPr="009E0690">
        <w:rPr>
          <w:rFonts w:ascii="Times New Roman" w:hAnsi="Times New Roman" w:cs="Times New Roman"/>
          <w:b/>
          <w:bCs/>
          <w:vertAlign w:val="superscript"/>
          <w:lang w:val="en-GB"/>
        </w:rPr>
        <w:t xml:space="preserve">1 </w:t>
      </w:r>
      <w:r w:rsidRPr="009E0690">
        <w:rPr>
          <w:rFonts w:ascii="Times New Roman" w:hAnsi="Times New Roman" w:cs="Times New Roman"/>
          <w:b/>
          <w:bCs/>
          <w:lang w:val="en-GB"/>
        </w:rPr>
        <w:t>Ikhlas M.M. Ahmed,</w:t>
      </w:r>
      <w:r w:rsidRPr="009E0690">
        <w:rPr>
          <w:rFonts w:ascii="Times New Roman" w:hAnsi="Times New Roman" w:cs="Times New Roman"/>
          <w:b/>
          <w:bCs/>
          <w:vertAlign w:val="superscript"/>
          <w:lang w:val="en-GB"/>
        </w:rPr>
        <w:t>2</w:t>
      </w:r>
      <w:r w:rsidRPr="009E0690">
        <w:rPr>
          <w:rFonts w:ascii="Times New Roman" w:hAnsi="Times New Roman" w:cs="Times New Roman"/>
          <w:b/>
          <w:bCs/>
          <w:lang w:val="en-GB"/>
        </w:rPr>
        <w:t xml:space="preserve"> Immacolata Abate,</w:t>
      </w:r>
      <w:r w:rsidRPr="009E0690">
        <w:rPr>
          <w:rFonts w:ascii="Times New Roman" w:hAnsi="Times New Roman" w:cs="Times New Roman"/>
          <w:b/>
          <w:bCs/>
          <w:vertAlign w:val="superscript"/>
          <w:lang w:val="en-GB"/>
        </w:rPr>
        <w:t>2</w:t>
      </w:r>
      <w:r w:rsidRPr="009E0690">
        <w:rPr>
          <w:rFonts w:ascii="Times New Roman" w:hAnsi="Times New Roman" w:cs="Times New Roman"/>
          <w:b/>
          <w:bCs/>
          <w:lang w:val="en-GB"/>
        </w:rPr>
        <w:t xml:space="preserve"> Ian MacLaren,</w:t>
      </w:r>
      <w:r w:rsidRPr="009E0690">
        <w:rPr>
          <w:rFonts w:ascii="Times New Roman" w:hAnsi="Times New Roman" w:cs="Times New Roman"/>
          <w:b/>
          <w:bCs/>
          <w:vertAlign w:val="superscript"/>
          <w:lang w:val="en-GB"/>
        </w:rPr>
        <w:t>3</w:t>
      </w:r>
      <w:r w:rsidRPr="009E0690">
        <w:rPr>
          <w:rFonts w:ascii="Times New Roman" w:hAnsi="Times New Roman" w:cs="Times New Roman"/>
          <w:b/>
          <w:bCs/>
          <w:lang w:val="en-GB"/>
        </w:rPr>
        <w:t xml:space="preserve"> Rebecca Beveridge,</w:t>
      </w:r>
      <w:r w:rsidRPr="009E0690">
        <w:rPr>
          <w:rFonts w:ascii="Times New Roman" w:hAnsi="Times New Roman" w:cs="Times New Roman"/>
          <w:b/>
          <w:bCs/>
          <w:vertAlign w:val="superscript"/>
          <w:lang w:val="en-GB"/>
        </w:rPr>
        <w:t>2</w:t>
      </w:r>
      <w:r w:rsidRPr="009E0690">
        <w:rPr>
          <w:rFonts w:ascii="Times New Roman" w:hAnsi="Times New Roman" w:cs="Times New Roman"/>
          <w:b/>
          <w:bCs/>
          <w:lang w:val="en-GB"/>
        </w:rPr>
        <w:t xml:space="preserve"> and </w:t>
      </w:r>
      <w:r w:rsidRPr="009E0690">
        <w:rPr>
          <w:rFonts w:ascii="Times New Roman" w:hAnsi="Times New Roman" w:cs="Times New Roman"/>
          <w:b/>
          <w:bCs/>
          <w:u w:val="single"/>
          <w:lang w:val="en-GB"/>
        </w:rPr>
        <w:t>Klaas Wynne</w:t>
      </w:r>
      <w:r w:rsidRPr="009E0690">
        <w:rPr>
          <w:rFonts w:ascii="Times New Roman" w:hAnsi="Times New Roman" w:cs="Times New Roman"/>
          <w:b/>
          <w:bCs/>
          <w:vertAlign w:val="superscript"/>
          <w:lang w:val="en-GB"/>
        </w:rPr>
        <w:t>1</w:t>
      </w:r>
    </w:p>
    <w:p w14:paraId="23294A37" w14:textId="77777777" w:rsidR="009E0690" w:rsidRPr="009E0690" w:rsidRDefault="009E0690" w:rsidP="009E0690">
      <w:pPr>
        <w:jc w:val="center"/>
        <w:rPr>
          <w:rFonts w:ascii="Times New Roman" w:hAnsi="Times New Roman" w:cs="Times New Roman"/>
          <w:sz w:val="22"/>
          <w:szCs w:val="22"/>
          <w:lang w:val="en-GB"/>
        </w:rPr>
      </w:pPr>
      <w:r w:rsidRPr="009E0690">
        <w:rPr>
          <w:rFonts w:ascii="Times New Roman" w:hAnsi="Times New Roman" w:cs="Times New Roman"/>
          <w:sz w:val="22"/>
          <w:szCs w:val="22"/>
          <w:vertAlign w:val="superscript"/>
          <w:lang w:val="en-GB"/>
        </w:rPr>
        <w:t>1</w:t>
      </w:r>
      <w:r w:rsidRPr="009E0690">
        <w:rPr>
          <w:rFonts w:ascii="Times New Roman" w:hAnsi="Times New Roman" w:cs="Times New Roman"/>
          <w:sz w:val="22"/>
          <w:szCs w:val="22"/>
          <w:lang w:val="en-GB"/>
        </w:rPr>
        <w:t>School of Chemistry, University of Glasgow, G12 8QQ, UK</w:t>
      </w:r>
    </w:p>
    <w:p w14:paraId="0210F09B" w14:textId="77777777" w:rsidR="009E0690" w:rsidRPr="009E0690" w:rsidRDefault="009E0690" w:rsidP="009E0690">
      <w:pPr>
        <w:jc w:val="center"/>
        <w:rPr>
          <w:rFonts w:ascii="Times New Roman" w:hAnsi="Times New Roman" w:cs="Times New Roman"/>
          <w:sz w:val="22"/>
          <w:szCs w:val="22"/>
          <w:lang w:val="en-GB"/>
        </w:rPr>
      </w:pPr>
      <w:r w:rsidRPr="009E0690">
        <w:rPr>
          <w:rFonts w:ascii="Times New Roman" w:hAnsi="Times New Roman" w:cs="Times New Roman"/>
          <w:sz w:val="22"/>
          <w:szCs w:val="22"/>
          <w:vertAlign w:val="superscript"/>
          <w:lang w:val="en-GB"/>
        </w:rPr>
        <w:t>2</w:t>
      </w:r>
      <w:r w:rsidRPr="009E0690">
        <w:rPr>
          <w:rFonts w:ascii="Times New Roman" w:hAnsi="Times New Roman" w:cs="Times New Roman"/>
          <w:sz w:val="22"/>
          <w:szCs w:val="22"/>
          <w:lang w:val="en-GB"/>
        </w:rPr>
        <w:t>Dept. of Pure and Applied Chemistry, University of Strathclyde, Glasgow G1 1XL, UK</w:t>
      </w:r>
    </w:p>
    <w:p w14:paraId="5EEB2EDE" w14:textId="77777777" w:rsidR="009E0690" w:rsidRPr="009E0690" w:rsidRDefault="009E0690" w:rsidP="009E0690">
      <w:pPr>
        <w:jc w:val="center"/>
        <w:rPr>
          <w:rFonts w:ascii="Times New Roman" w:hAnsi="Times New Roman" w:cs="Times New Roman"/>
          <w:sz w:val="22"/>
          <w:szCs w:val="22"/>
          <w:lang w:val="en-GB"/>
        </w:rPr>
      </w:pPr>
      <w:r w:rsidRPr="009E0690">
        <w:rPr>
          <w:rFonts w:ascii="Times New Roman" w:hAnsi="Times New Roman" w:cs="Times New Roman"/>
          <w:sz w:val="22"/>
          <w:szCs w:val="22"/>
          <w:vertAlign w:val="superscript"/>
          <w:lang w:val="en-GB"/>
        </w:rPr>
        <w:t>3</w:t>
      </w:r>
      <w:r w:rsidRPr="009E0690">
        <w:rPr>
          <w:rFonts w:ascii="Times New Roman" w:hAnsi="Times New Roman" w:cs="Times New Roman"/>
          <w:sz w:val="22"/>
          <w:szCs w:val="22"/>
          <w:lang w:val="en-GB"/>
        </w:rPr>
        <w:t>School of Physics and Astronomy, University of Glasgow, Glasgow, G12 8QQ UK</w:t>
      </w:r>
    </w:p>
    <w:p w14:paraId="4CE15B85" w14:textId="5A272309" w:rsidR="0085659C" w:rsidRDefault="0085659C">
      <w:pPr>
        <w:jc w:val="center"/>
        <w:rPr>
          <w:rFonts w:ascii="Times New Roman" w:hAnsi="Times New Roman" w:cs="Times New Roman"/>
          <w:sz w:val="22"/>
          <w:szCs w:val="22"/>
          <w:lang w:val="en-GB"/>
        </w:rPr>
      </w:pPr>
      <w:r w:rsidRPr="00414C25">
        <w:rPr>
          <w:rFonts w:ascii="Times New Roman" w:hAnsi="Times New Roman" w:cs="Times New Roman"/>
          <w:sz w:val="22"/>
          <w:szCs w:val="22"/>
          <w:lang w:val="en-GB"/>
        </w:rPr>
        <w:t xml:space="preserve">e-mail: </w:t>
      </w:r>
      <w:r w:rsidR="009E0690">
        <w:rPr>
          <w:rFonts w:ascii="Times New Roman" w:hAnsi="Times New Roman" w:cs="Times New Roman"/>
          <w:sz w:val="22"/>
          <w:szCs w:val="22"/>
          <w:lang w:val="en-GB"/>
        </w:rPr>
        <w:t>klaas.wynne@glasgow.ac.uk</w:t>
      </w:r>
    </w:p>
    <w:p w14:paraId="7C80E2EA" w14:textId="77777777" w:rsidR="00455BDA" w:rsidRPr="00414C25" w:rsidRDefault="00455BDA">
      <w:pPr>
        <w:rPr>
          <w:rFonts w:ascii="Times New Roman" w:hAnsi="Times New Roman" w:cs="Times New Roman"/>
          <w:lang w:val="en-GB"/>
        </w:rPr>
      </w:pPr>
    </w:p>
    <w:p w14:paraId="25DCF431" w14:textId="763EA5EE" w:rsidR="00455BDA" w:rsidRPr="00274257" w:rsidRDefault="009E0690" w:rsidP="009E0690">
      <w:pPr>
        <w:autoSpaceDE/>
        <w:autoSpaceDN/>
        <w:jc w:val="left"/>
        <w:rPr>
          <w:rFonts w:ascii="Times New Roman" w:hAnsi="Times New Roman" w:cs="Times New Roman"/>
          <w:lang w:val="en-GB"/>
        </w:rPr>
      </w:pPr>
      <w:r w:rsidRPr="009E0690">
        <w:rPr>
          <w:rFonts w:ascii="Times New Roman" w:hAnsi="Times New Roman" w:cs="Times New Roman"/>
          <w:lang w:val="en-GB"/>
        </w:rPr>
        <w:t>The structure of solutions is traditionally assumed to consist of individual solvated solute molecules, occasionally forming transient dimers or small clusters. Here we show that this textbook view is fundamentally incomplete: concentrated aqueous electrolyte solutions contain a previously unrecognised metastable amorphous phase composed of amorphous aggregates (AAs), into which the majority of solute molecules spontaneously assemble, even under undersaturated conditions.</w:t>
      </w:r>
      <w:r w:rsidR="00C7427E">
        <w:rPr>
          <w:rFonts w:ascii="Times New Roman" w:hAnsi="Times New Roman" w:cs="Times New Roman"/>
          <w:lang w:val="en-GB"/>
        </w:rPr>
        <w:fldChar w:fldCharType="begin"/>
      </w:r>
      <w:r w:rsidR="00C7427E">
        <w:rPr>
          <w:rFonts w:ascii="Times New Roman" w:hAnsi="Times New Roman" w:cs="Times New Roman"/>
          <w:lang w:val="en-GB"/>
        </w:rPr>
        <w:instrText xml:space="preserve"> ADDIN ZOTERO_ITEM CSL_CITATION {"citationID":"6uEO2lPt","properties":{"unsorted":false,"formattedCitation":"\\super 1\\nosupersub{}","plainCitation":"1","noteIndex":0},"citationItems":[{"id":21147,"uris":["http://zotero.org/users/7739937/items/Z56BL7J3"],"itemData":{"id":21147,"type":"article-journal","abstract":"The structure of solutions is traditionally assumed to consist of individual solvated solute molecules, occasionally forming transient dimers or small clusters. Here we show that this textbook view is fundamentally incomplete: concentrated aqueous electrolyte solutions contain a previously unrecognised metastable amorphous phase composed of amorphous aggregates (AAs), into which the majority of solute molecules spontaneously assemble, even under undersaturated conditions. Using a range of experimental techniques, we reveal a hierarchical population extending from molecular oligomers to micrometre-scale amorphous fractal solids and millimetre-scale assemblies. AAs form by a barrierless diffusion-limited process, rationalised by a modification of classical nucleation theory that accounts for their reduced free-energy barrier and fractal structure. These findings demonstrate that a metastable amorphous aggregate phase is intrinsic to concentrated solutions, revising the classical description of solubility, supersaturation and nucleation kinetics.","container-title":"ChemRxiv","DOI":"10.26434/chemrxiv-2025-x4kh4/v2","publisher":"ChemRxiv","source":"chemrxiv.org (Atypon)","title":"A metastable phase of amorphous aggregates governs solution structure","URL":"https://chemrxiv.org/doi/full/10.26434/chemrxiv-2025-x4kh4/v2","author":[{"family":"Liao","given":"Zhiyu"},{"family":"Das","given":"Ankita"},{"family":"Russell","given":"Ben"},{"family":"Ahmed","given":"Ikhlas"},{"family":"Abate","given":"Immacolata"},{"family":"MacLaren","given":"Ian"},{"family":"Beveridge","given":"Rebecca"},{"family":"Wynne","given":"Klaas"}],"accessed":{"date-parts":[["2026",1,30]]},"issued":{"date-parts":[["2026"]]}}}],"schema":"https://github.com/citation-style-language/schema/raw/master/csl-citation.json"} </w:instrText>
      </w:r>
      <w:r w:rsidR="00C7427E">
        <w:rPr>
          <w:rFonts w:ascii="Times New Roman" w:hAnsi="Times New Roman" w:cs="Times New Roman"/>
          <w:lang w:val="en-GB"/>
        </w:rPr>
        <w:fldChar w:fldCharType="separate"/>
      </w:r>
      <w:r w:rsidR="00C7427E" w:rsidRPr="00C7427E">
        <w:rPr>
          <w:rFonts w:ascii="Times New Roman" w:eastAsia="SimSun" w:hAnsi="Times New Roman" w:cs="Times New Roman"/>
          <w:vertAlign w:val="superscript"/>
          <w:lang w:val="en-GB" w:eastAsia="en-GB"/>
        </w:rPr>
        <w:t>1</w:t>
      </w:r>
      <w:r w:rsidR="00C7427E">
        <w:rPr>
          <w:rFonts w:ascii="Times New Roman" w:hAnsi="Times New Roman" w:cs="Times New Roman"/>
          <w:lang w:val="en-GB"/>
        </w:rPr>
        <w:fldChar w:fldCharType="end"/>
      </w:r>
      <w:r w:rsidRPr="009E0690">
        <w:rPr>
          <w:rFonts w:ascii="Times New Roman" w:hAnsi="Times New Roman" w:cs="Times New Roman"/>
          <w:lang w:val="en-GB"/>
        </w:rPr>
        <w:t xml:space="preserve"> Using a range of experimental techniques, we reveal a hierarchical population extending from molecular oligomers to micrometre-scale amorphous fractal solids and millimetre-scale assemblies. AAs form by a barrierless diffusion-limited process, rationalised by a modification of classical nucleation theory that accounts for their reduced free-energy barrier and fractal structure. These findings demonstrate that a metastable amorphous aggregate phase is intrinsic to concentrated solutions, revising the classical description of solubility, supersaturation and nucleation kinetics.</w:t>
      </w:r>
    </w:p>
    <w:p w14:paraId="2890BF2A" w14:textId="4EB2AAED" w:rsidR="00455BDA" w:rsidRDefault="009E0690" w:rsidP="009E0690">
      <w:pPr>
        <w:adjustRightInd w:val="0"/>
        <w:snapToGrid w:val="0"/>
        <w:ind w:firstLine="284"/>
        <w:jc w:val="center"/>
        <w:rPr>
          <w:rFonts w:ascii="Times New Roman" w:hAnsi="Times New Roman" w:cs="Times New Roman"/>
          <w:b/>
          <w:bCs/>
          <w:color w:val="auto"/>
          <w:lang w:val="en-GB"/>
        </w:rPr>
      </w:pPr>
      <w:r w:rsidRPr="008E3573">
        <w:rPr>
          <w:noProof/>
        </w:rPr>
        <w:drawing>
          <wp:inline distT="0" distB="0" distL="0" distR="0" wp14:anchorId="37541333" wp14:editId="685225B1">
            <wp:extent cx="2962971" cy="2962698"/>
            <wp:effectExtent l="0" t="0" r="0" b="0"/>
            <wp:docPr id="933051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051217" name=""/>
                    <pic:cNvPicPr/>
                  </pic:nvPicPr>
                  <pic:blipFill rotWithShape="1">
                    <a:blip r:embed="rId7"/>
                    <a:srcRect l="4976" r="5118" b="5416"/>
                    <a:stretch>
                      <a:fillRect/>
                    </a:stretch>
                  </pic:blipFill>
                  <pic:spPr bwMode="auto">
                    <a:xfrm>
                      <a:off x="0" y="0"/>
                      <a:ext cx="3027612" cy="3027333"/>
                    </a:xfrm>
                    <a:prstGeom prst="rect">
                      <a:avLst/>
                    </a:prstGeom>
                    <a:ln>
                      <a:noFill/>
                    </a:ln>
                    <a:extLst>
                      <a:ext uri="{53640926-AAD7-44D8-BBD7-CCE9431645EC}">
                        <a14:shadowObscured xmlns:a14="http://schemas.microsoft.com/office/drawing/2010/main"/>
                      </a:ext>
                    </a:extLst>
                  </pic:spPr>
                </pic:pic>
              </a:graphicData>
            </a:graphic>
          </wp:inline>
        </w:drawing>
      </w:r>
    </w:p>
    <w:p w14:paraId="7C1E4770" w14:textId="1050B244" w:rsidR="00455BDA" w:rsidRDefault="00274257" w:rsidP="0015339B">
      <w:pPr>
        <w:adjustRightInd w:val="0"/>
        <w:snapToGrid w:val="0"/>
        <w:ind w:firstLine="708"/>
        <w:jc w:val="left"/>
        <w:rPr>
          <w:rFonts w:ascii="Times New Roman" w:hAnsi="Times New Roman" w:cs="Times New Roman"/>
          <w:bCs/>
          <w:i/>
          <w:color w:val="auto"/>
          <w:sz w:val="22"/>
          <w:szCs w:val="22"/>
          <w:lang w:val="en-GB"/>
        </w:rPr>
      </w:pPr>
      <w:r w:rsidRPr="0061348E">
        <w:rPr>
          <w:rFonts w:ascii="Times New Roman" w:hAnsi="Times New Roman" w:cs="Times New Roman"/>
          <w:b/>
          <w:bCs/>
          <w:i/>
          <w:color w:val="auto"/>
          <w:sz w:val="22"/>
          <w:szCs w:val="22"/>
          <w:lang w:val="en-GB"/>
        </w:rPr>
        <w:t>Figure 1</w:t>
      </w:r>
      <w:r w:rsidRPr="0061348E">
        <w:rPr>
          <w:rFonts w:ascii="Times New Roman" w:hAnsi="Times New Roman" w:cs="Times New Roman"/>
          <w:bCs/>
          <w:i/>
          <w:color w:val="auto"/>
          <w:sz w:val="22"/>
          <w:szCs w:val="22"/>
          <w:lang w:val="en-GB"/>
        </w:rPr>
        <w:t xml:space="preserve"> – </w:t>
      </w:r>
      <w:bookmarkStart w:id="0" w:name="_Ref187747669"/>
      <w:bookmarkStart w:id="1" w:name="_Ref190684329"/>
      <w:bookmarkStart w:id="2" w:name="_Ref219889098"/>
      <w:bookmarkStart w:id="3" w:name="_Ref190684319"/>
      <w:bookmarkStart w:id="4" w:name="_Ref195080414"/>
      <w:r w:rsidR="009E0690" w:rsidRPr="009E0690">
        <w:rPr>
          <w:rFonts w:ascii="Times New Roman" w:hAnsi="Times New Roman" w:cs="Times New Roman"/>
          <w:b/>
          <w:bCs/>
          <w:i/>
          <w:color w:val="auto"/>
          <w:sz w:val="22"/>
          <w:szCs w:val="22"/>
          <w:lang w:val="en-GB"/>
        </w:rPr>
        <w:t>Microscopic imaging of the solid forms of amorphous aggregates (AAs) in undersaturated solution</w:t>
      </w:r>
      <w:r w:rsidR="009E0690" w:rsidRPr="009E0690">
        <w:rPr>
          <w:rFonts w:ascii="Times New Roman" w:hAnsi="Times New Roman" w:cs="Times New Roman"/>
          <w:bCs/>
          <w:i/>
          <w:color w:val="auto"/>
          <w:sz w:val="22"/>
          <w:szCs w:val="22"/>
          <w:lang w:val="en-GB"/>
        </w:rPr>
        <w:t>. (</w:t>
      </w:r>
      <w:r w:rsidR="009E0690" w:rsidRPr="009E0690">
        <w:rPr>
          <w:rFonts w:ascii="Times New Roman" w:hAnsi="Times New Roman" w:cs="Times New Roman"/>
          <w:b/>
          <w:bCs/>
          <w:i/>
          <w:color w:val="auto"/>
          <w:sz w:val="22"/>
          <w:szCs w:val="22"/>
          <w:lang w:val="en-GB"/>
        </w:rPr>
        <w:t>a</w:t>
      </w:r>
      <w:r w:rsidR="009E0690" w:rsidRPr="009E0690">
        <w:rPr>
          <w:rFonts w:ascii="Times New Roman" w:hAnsi="Times New Roman" w:cs="Times New Roman"/>
          <w:bCs/>
          <w:i/>
          <w:color w:val="auto"/>
          <w:sz w:val="22"/>
          <w:szCs w:val="22"/>
          <w:lang w:val="en-GB"/>
        </w:rPr>
        <w:t>) After several days of aging, millimetre-sized fluffy macroscopic objects can be observed by eye in undersaturated solution. (</w:t>
      </w:r>
      <w:r w:rsidR="009E0690" w:rsidRPr="009E0690">
        <w:rPr>
          <w:rFonts w:ascii="Times New Roman" w:hAnsi="Times New Roman" w:cs="Times New Roman"/>
          <w:b/>
          <w:bCs/>
          <w:i/>
          <w:color w:val="auto"/>
          <w:sz w:val="22"/>
          <w:szCs w:val="22"/>
          <w:lang w:val="en-GB"/>
        </w:rPr>
        <w:t>b</w:t>
      </w:r>
      <w:r w:rsidR="009E0690" w:rsidRPr="009E0690">
        <w:rPr>
          <w:rFonts w:ascii="Times New Roman" w:hAnsi="Times New Roman" w:cs="Times New Roman"/>
          <w:bCs/>
          <w:i/>
          <w:color w:val="auto"/>
          <w:sz w:val="22"/>
          <w:szCs w:val="22"/>
          <w:lang w:val="en-GB"/>
        </w:rPr>
        <w:t>) Visible light microscopic imaging shows that the fluffy macroscopic aggregates consist of 10–100 </w:t>
      </w:r>
      <w:proofErr w:type="spellStart"/>
      <w:r w:rsidR="009E0690" w:rsidRPr="009E0690">
        <w:rPr>
          <w:rFonts w:ascii="Times New Roman" w:hAnsi="Times New Roman" w:cs="Times New Roman"/>
          <w:bCs/>
          <w:i/>
          <w:color w:val="auto"/>
          <w:sz w:val="22"/>
          <w:szCs w:val="22"/>
          <w:lang w:val="en-GB"/>
        </w:rPr>
        <w:t>μm</w:t>
      </w:r>
      <w:proofErr w:type="spellEnd"/>
      <w:r w:rsidR="009E0690" w:rsidRPr="009E0690">
        <w:rPr>
          <w:rFonts w:ascii="Times New Roman" w:hAnsi="Times New Roman" w:cs="Times New Roman"/>
          <w:bCs/>
          <w:i/>
          <w:color w:val="auto"/>
          <w:sz w:val="22"/>
          <w:szCs w:val="22"/>
          <w:lang w:val="en-GB"/>
        </w:rPr>
        <w:t xml:space="preserve"> AA fractals.</w:t>
      </w:r>
      <w:bookmarkEnd w:id="0"/>
      <w:bookmarkEnd w:id="1"/>
      <w:r w:rsidR="009E0690" w:rsidRPr="009E0690">
        <w:rPr>
          <w:rFonts w:ascii="Times New Roman" w:hAnsi="Times New Roman" w:cs="Times New Roman"/>
          <w:bCs/>
          <w:i/>
          <w:color w:val="auto"/>
          <w:sz w:val="22"/>
          <w:szCs w:val="22"/>
          <w:lang w:val="en-GB"/>
        </w:rPr>
        <w:t xml:space="preserve"> </w:t>
      </w:r>
      <w:bookmarkStart w:id="5" w:name="_Ref197506617"/>
      <w:r w:rsidR="009E0690" w:rsidRPr="009E0690">
        <w:rPr>
          <w:rFonts w:ascii="Times New Roman" w:hAnsi="Times New Roman" w:cs="Times New Roman"/>
          <w:bCs/>
          <w:i/>
          <w:color w:val="auto"/>
          <w:sz w:val="22"/>
          <w:szCs w:val="22"/>
          <w:lang w:val="en-GB"/>
        </w:rPr>
        <w:t>(</w:t>
      </w:r>
      <w:r w:rsidR="009E0690" w:rsidRPr="009E0690">
        <w:rPr>
          <w:rFonts w:ascii="Times New Roman" w:hAnsi="Times New Roman" w:cs="Times New Roman"/>
          <w:b/>
          <w:bCs/>
          <w:i/>
          <w:color w:val="auto"/>
          <w:sz w:val="22"/>
          <w:szCs w:val="22"/>
          <w:lang w:val="en-GB"/>
        </w:rPr>
        <w:t>c</w:t>
      </w:r>
      <w:r w:rsidR="009E0690" w:rsidRPr="009E0690">
        <w:rPr>
          <w:rFonts w:ascii="Times New Roman" w:hAnsi="Times New Roman" w:cs="Times New Roman"/>
          <w:bCs/>
          <w:i/>
          <w:color w:val="auto"/>
          <w:sz w:val="22"/>
          <w:szCs w:val="22"/>
          <w:lang w:val="en-GB"/>
        </w:rPr>
        <w:t>) TEM image of AA fractals on carbon film/copper grid (scale bar, 20 µm). (</w:t>
      </w:r>
      <w:r w:rsidR="009E0690" w:rsidRPr="009E0690">
        <w:rPr>
          <w:rFonts w:ascii="Times New Roman" w:hAnsi="Times New Roman" w:cs="Times New Roman"/>
          <w:b/>
          <w:bCs/>
          <w:i/>
          <w:color w:val="auto"/>
          <w:sz w:val="22"/>
          <w:szCs w:val="22"/>
          <w:lang w:val="en-GB"/>
        </w:rPr>
        <w:t>d</w:t>
      </w:r>
      <w:r w:rsidR="009E0690" w:rsidRPr="009E0690">
        <w:rPr>
          <w:rFonts w:ascii="Times New Roman" w:hAnsi="Times New Roman" w:cs="Times New Roman"/>
          <w:bCs/>
          <w:i/>
          <w:color w:val="auto"/>
          <w:sz w:val="22"/>
          <w:szCs w:val="22"/>
          <w:lang w:val="en-GB"/>
        </w:rPr>
        <w:t>) Idem, showing that the AA fractals consist of ~1-μm nodular aggregates of ~100-nm spheres positioned on a lacey carbon film.</w:t>
      </w:r>
      <w:bookmarkEnd w:id="5"/>
      <w:r w:rsidR="009E0690" w:rsidRPr="009E0690">
        <w:rPr>
          <w:rFonts w:ascii="Times New Roman" w:hAnsi="Times New Roman" w:cs="Times New Roman"/>
          <w:bCs/>
          <w:i/>
          <w:color w:val="auto"/>
          <w:sz w:val="22"/>
          <w:szCs w:val="22"/>
          <w:lang w:val="en-GB"/>
        </w:rPr>
        <w:t xml:space="preserve"> (</w:t>
      </w:r>
      <w:r w:rsidR="009E0690" w:rsidRPr="009E0690">
        <w:rPr>
          <w:rFonts w:ascii="Times New Roman" w:hAnsi="Times New Roman" w:cs="Times New Roman"/>
          <w:b/>
          <w:bCs/>
          <w:i/>
          <w:color w:val="auto"/>
          <w:sz w:val="22"/>
          <w:szCs w:val="22"/>
          <w:lang w:val="en-GB"/>
        </w:rPr>
        <w:t>e</w:t>
      </w:r>
      <w:r w:rsidR="009E0690" w:rsidRPr="009E0690">
        <w:rPr>
          <w:rFonts w:ascii="Times New Roman" w:hAnsi="Times New Roman" w:cs="Times New Roman"/>
          <w:bCs/>
          <w:i/>
          <w:color w:val="auto"/>
          <w:sz w:val="22"/>
          <w:szCs w:val="22"/>
          <w:lang w:val="en-GB"/>
        </w:rPr>
        <w:t>) Annular dark field image calculated from the 4D-STEM imaging dataset showing a typical nodular aggregate (10-nm scan step size). (</w:t>
      </w:r>
      <w:r w:rsidR="009E0690" w:rsidRPr="009E0690">
        <w:rPr>
          <w:rFonts w:ascii="Times New Roman" w:hAnsi="Times New Roman" w:cs="Times New Roman"/>
          <w:b/>
          <w:bCs/>
          <w:i/>
          <w:color w:val="auto"/>
          <w:sz w:val="22"/>
          <w:szCs w:val="22"/>
          <w:lang w:val="en-GB"/>
        </w:rPr>
        <w:t>f</w:t>
      </w:r>
      <w:r w:rsidR="009E0690" w:rsidRPr="009E0690">
        <w:rPr>
          <w:rFonts w:ascii="Times New Roman" w:hAnsi="Times New Roman" w:cs="Times New Roman"/>
          <w:bCs/>
          <w:i/>
          <w:color w:val="auto"/>
          <w:sz w:val="22"/>
          <w:szCs w:val="22"/>
          <w:lang w:val="en-GB"/>
        </w:rPr>
        <w:t>) Four exemplar electron-diffraction patterns from the from the selected areas 1-4 shown in (e). (</w:t>
      </w:r>
      <w:r w:rsidR="009E0690" w:rsidRPr="009E0690">
        <w:rPr>
          <w:rFonts w:ascii="Times New Roman" w:hAnsi="Times New Roman" w:cs="Times New Roman"/>
          <w:b/>
          <w:bCs/>
          <w:i/>
          <w:color w:val="auto"/>
          <w:sz w:val="22"/>
          <w:szCs w:val="22"/>
          <w:lang w:val="en-GB"/>
        </w:rPr>
        <w:t>g</w:t>
      </w:r>
      <w:r w:rsidR="009E0690" w:rsidRPr="009E0690">
        <w:rPr>
          <w:rFonts w:ascii="Times New Roman" w:hAnsi="Times New Roman" w:cs="Times New Roman"/>
          <w:bCs/>
          <w:i/>
          <w:color w:val="auto"/>
          <w:sz w:val="22"/>
          <w:szCs w:val="22"/>
          <w:lang w:val="en-GB"/>
        </w:rPr>
        <w:t>) Four pair distribution functions (PDFs) extracted from selected areas in (e), showing 3 clear near-neighbour distances.</w:t>
      </w:r>
      <w:bookmarkEnd w:id="2"/>
      <w:bookmarkEnd w:id="3"/>
      <w:bookmarkEnd w:id="4"/>
    </w:p>
    <w:p w14:paraId="1B50216B" w14:textId="77777777" w:rsidR="00A9642A" w:rsidRDefault="00A9642A" w:rsidP="0015339B">
      <w:pPr>
        <w:adjustRightInd w:val="0"/>
        <w:snapToGrid w:val="0"/>
        <w:ind w:firstLine="708"/>
        <w:jc w:val="left"/>
        <w:rPr>
          <w:rFonts w:ascii="Times New Roman" w:hAnsi="Times New Roman" w:cs="Times New Roman"/>
          <w:bCs/>
          <w:i/>
          <w:color w:val="auto"/>
          <w:sz w:val="22"/>
          <w:szCs w:val="22"/>
          <w:lang w:val="en-GB"/>
        </w:rPr>
      </w:pPr>
    </w:p>
    <w:p w14:paraId="418CEDB8" w14:textId="77777777" w:rsidR="00C7427E" w:rsidRPr="006A41DD" w:rsidRDefault="00C7427E" w:rsidP="00C7427E">
      <w:pPr>
        <w:jc w:val="left"/>
        <w:rPr>
          <w:rFonts w:ascii="Times New Roman" w:hAnsi="Times New Roman" w:cs="Times New Roman"/>
          <w:lang w:val="en-GB"/>
        </w:rPr>
      </w:pPr>
      <w:r w:rsidRPr="006A41DD">
        <w:rPr>
          <w:rFonts w:ascii="Times New Roman" w:hAnsi="Times New Roman" w:cs="Times New Roman"/>
          <w:b/>
          <w:bCs/>
          <w:lang w:val="en-GB"/>
        </w:rPr>
        <w:t>References</w:t>
      </w:r>
    </w:p>
    <w:p w14:paraId="77FE85F7" w14:textId="77777777" w:rsidR="00C7427E" w:rsidRPr="00C7427E" w:rsidRDefault="00C7427E" w:rsidP="00C7427E">
      <w:pPr>
        <w:pStyle w:val="Bibliography"/>
        <w:rPr>
          <w:rFonts w:ascii="Times New Roman" w:hAnsi="Times New Roman" w:cs="Times New Roman"/>
          <w:lang w:val="en-GB" w:eastAsia="en-GB"/>
        </w:rPr>
      </w:pPr>
      <w:r>
        <w:rPr>
          <w:lang w:val="en-GB"/>
        </w:rPr>
        <w:fldChar w:fldCharType="begin"/>
      </w:r>
      <w:r>
        <w:rPr>
          <w:lang w:val="en-GB"/>
        </w:rPr>
        <w:instrText xml:space="preserve"> ADDIN ZOTERO_BIBL {"uncited":[],"omitted":[],"custom":[]} CSL_BIBLIOGRAPHY </w:instrText>
      </w:r>
      <w:r>
        <w:rPr>
          <w:lang w:val="en-GB"/>
        </w:rPr>
        <w:fldChar w:fldCharType="separate"/>
      </w:r>
      <w:r w:rsidRPr="00C7427E">
        <w:rPr>
          <w:rFonts w:ascii="Times New Roman" w:hAnsi="Times New Roman" w:cs="Times New Roman"/>
          <w:lang w:val="en-GB" w:eastAsia="en-GB"/>
        </w:rPr>
        <w:t>(1)</w:t>
      </w:r>
      <w:r w:rsidRPr="00C7427E">
        <w:rPr>
          <w:rFonts w:ascii="Times New Roman" w:hAnsi="Times New Roman" w:cs="Times New Roman"/>
          <w:lang w:val="en-GB" w:eastAsia="en-GB"/>
        </w:rPr>
        <w:tab/>
        <w:t xml:space="preserve">Liao, Z.; Das, A.; Russell, B.; Ahmed, I.; Abate, I.; MacLaren, I.; Beveridge, R.; Wynne, K. A Metastable Phase of Amorphous Aggregates Governs Solution Structure. </w:t>
      </w:r>
      <w:proofErr w:type="spellStart"/>
      <w:r w:rsidRPr="00C7427E">
        <w:rPr>
          <w:rFonts w:ascii="Times New Roman" w:hAnsi="Times New Roman" w:cs="Times New Roman"/>
          <w:i/>
          <w:iCs/>
          <w:lang w:val="en-GB" w:eastAsia="en-GB"/>
        </w:rPr>
        <w:t>ChemRxiv</w:t>
      </w:r>
      <w:proofErr w:type="spellEnd"/>
      <w:r w:rsidRPr="00C7427E">
        <w:rPr>
          <w:rFonts w:ascii="Times New Roman" w:hAnsi="Times New Roman" w:cs="Times New Roman"/>
          <w:lang w:val="en-GB" w:eastAsia="en-GB"/>
        </w:rPr>
        <w:t xml:space="preserve"> </w:t>
      </w:r>
      <w:r w:rsidRPr="00C7427E">
        <w:rPr>
          <w:rFonts w:ascii="Times New Roman" w:hAnsi="Times New Roman" w:cs="Times New Roman"/>
          <w:b/>
          <w:bCs/>
          <w:lang w:val="en-GB" w:eastAsia="en-GB"/>
        </w:rPr>
        <w:t>2026</w:t>
      </w:r>
      <w:r w:rsidRPr="00C7427E">
        <w:rPr>
          <w:rFonts w:ascii="Times New Roman" w:hAnsi="Times New Roman" w:cs="Times New Roman"/>
          <w:lang w:val="en-GB" w:eastAsia="en-GB"/>
        </w:rPr>
        <w:t>. https://doi.org/10.26434/chemrxiv-2025-x4kh4/v2.</w:t>
      </w:r>
    </w:p>
    <w:p w14:paraId="05E45795" w14:textId="7A6651DC" w:rsidR="00C7427E" w:rsidRPr="00414C25" w:rsidRDefault="00C7427E" w:rsidP="00C7427E">
      <w:pPr>
        <w:pStyle w:val="Bibliography"/>
        <w:rPr>
          <w:rFonts w:ascii="Times New Roman" w:hAnsi="Times New Roman" w:cs="Times New Roman"/>
          <w:lang w:val="en-GB"/>
        </w:rPr>
      </w:pPr>
      <w:r>
        <w:rPr>
          <w:rFonts w:ascii="Times New Roman" w:hAnsi="Times New Roman" w:cs="Times New Roman"/>
          <w:lang w:val="en-GB"/>
        </w:rPr>
        <w:lastRenderedPageBreak/>
        <w:fldChar w:fldCharType="end"/>
      </w:r>
    </w:p>
    <w:sectPr w:rsidR="00C7427E" w:rsidRPr="00414C25" w:rsidSect="000E068C">
      <w:headerReference w:type="first" r:id="rId8"/>
      <w:type w:val="continuous"/>
      <w:pgSz w:w="11907" w:h="16840" w:code="9"/>
      <w:pgMar w:top="1134" w:right="1134" w:bottom="1134" w:left="1134" w:header="454" w:footer="454" w:gutter="113"/>
      <w:cols w:space="283"/>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DF8ABE" w14:textId="77777777" w:rsidR="005923FF" w:rsidRDefault="005923FF">
      <w:pPr>
        <w:rPr>
          <w:rFonts w:cs="Times New Roman"/>
        </w:rPr>
      </w:pPr>
      <w:r>
        <w:rPr>
          <w:rFonts w:cs="Times New Roman"/>
        </w:rPr>
        <w:separator/>
      </w:r>
    </w:p>
  </w:endnote>
  <w:endnote w:type="continuationSeparator" w:id="0">
    <w:p w14:paraId="66023629" w14:textId="77777777" w:rsidR="005923FF" w:rsidRDefault="005923FF">
      <w:pPr>
        <w:rPr>
          <w:rFonts w:cs="Times New Roman"/>
        </w:rPr>
      </w:pPr>
      <w:r>
        <w:rPr>
          <w:rFonts w:cs="Times New Roman"/>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Palatino">
    <w:altName w:val="Book Antiqua"/>
    <w:panose1 w:val="00000000000000000000"/>
    <w:charset w:val="4D"/>
    <w:family w:val="auto"/>
    <w:pitch w:val="variable"/>
    <w:sig w:usb0="A00002FF" w:usb1="7800205A" w:usb2="14600000" w:usb3="00000000" w:csb0="00000193"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FCC005" w14:textId="77777777" w:rsidR="005923FF" w:rsidRDefault="005923FF">
      <w:pPr>
        <w:rPr>
          <w:rFonts w:cs="Times New Roman"/>
        </w:rPr>
      </w:pPr>
      <w:r>
        <w:rPr>
          <w:rFonts w:cs="Times New Roman"/>
        </w:rPr>
        <w:separator/>
      </w:r>
    </w:p>
  </w:footnote>
  <w:footnote w:type="continuationSeparator" w:id="0">
    <w:p w14:paraId="7A649D37" w14:textId="77777777" w:rsidR="005923FF" w:rsidRDefault="005923FF">
      <w:pPr>
        <w:rPr>
          <w:rFonts w:cs="Times New Roman"/>
        </w:rPr>
      </w:pPr>
      <w:r>
        <w:rPr>
          <w:rFonts w:cs="Times New Roman"/>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91E8B" w14:textId="77777777" w:rsidR="005C305C" w:rsidRPr="005C305C" w:rsidRDefault="009D76BD" w:rsidP="005C305C">
    <w:pPr>
      <w:pStyle w:val="Header"/>
      <w:jc w:val="center"/>
      <w:rPr>
        <w:rFonts w:asciiTheme="minorHAnsi" w:hAnsiTheme="minorHAnsi" w:cs="Times New Roman"/>
        <w:b/>
        <w:color w:val="7F7F7F" w:themeColor="text1" w:themeTint="80"/>
        <w:sz w:val="20"/>
        <w:szCs w:val="22"/>
      </w:rPr>
    </w:pPr>
    <w:r>
      <w:rPr>
        <w:rFonts w:asciiTheme="minorHAnsi" w:hAnsiTheme="minorHAnsi" w:cs="Times New Roman"/>
        <w:b/>
        <w:color w:val="7F7F7F" w:themeColor="text1" w:themeTint="80"/>
        <w:sz w:val="20"/>
        <w:szCs w:val="22"/>
      </w:rPr>
      <w:t>European Molecular Liquids Group and Japanese Molecular Liquids Group Annual Meeting (EMLG/JMLG 2026</w:t>
    </w:r>
    <w:r w:rsidR="005C305C" w:rsidRPr="005C305C">
      <w:rPr>
        <w:rFonts w:asciiTheme="minorHAnsi" w:hAnsiTheme="minorHAnsi" w:cs="Times New Roman"/>
        <w:b/>
        <w:color w:val="7F7F7F" w:themeColor="text1" w:themeTint="80"/>
        <w:sz w:val="20"/>
        <w:szCs w:val="22"/>
      </w:rPr>
      <w:t>)</w:t>
    </w:r>
  </w:p>
  <w:p w14:paraId="51A58D5E" w14:textId="77777777" w:rsidR="00121503" w:rsidRPr="005C305C" w:rsidRDefault="009D76BD" w:rsidP="005C305C">
    <w:pPr>
      <w:pStyle w:val="Header"/>
      <w:tabs>
        <w:tab w:val="clear" w:pos="4320"/>
      </w:tabs>
      <w:jc w:val="center"/>
      <w:rPr>
        <w:rFonts w:asciiTheme="minorHAnsi" w:hAnsiTheme="minorHAnsi" w:cs="Times New Roman"/>
        <w:b/>
        <w:color w:val="7F7F7F" w:themeColor="text1" w:themeTint="80"/>
        <w:sz w:val="20"/>
        <w:szCs w:val="22"/>
      </w:rPr>
    </w:pPr>
    <w:r>
      <w:rPr>
        <w:rFonts w:asciiTheme="minorHAnsi" w:hAnsiTheme="minorHAnsi" w:cs="Times New Roman"/>
        <w:b/>
        <w:color w:val="7F7F7F" w:themeColor="text1" w:themeTint="80"/>
        <w:sz w:val="20"/>
        <w:szCs w:val="22"/>
      </w:rPr>
      <w:t>Glasgow</w:t>
    </w:r>
    <w:r w:rsidR="00414C25">
      <w:rPr>
        <w:rFonts w:asciiTheme="minorHAnsi" w:hAnsiTheme="minorHAnsi" w:cs="Times New Roman"/>
        <w:b/>
        <w:color w:val="7F7F7F" w:themeColor="text1" w:themeTint="80"/>
        <w:sz w:val="20"/>
        <w:szCs w:val="22"/>
      </w:rPr>
      <w:t xml:space="preserve"> </w:t>
    </w:r>
    <w:r w:rsidR="005C305C" w:rsidRPr="005C305C">
      <w:rPr>
        <w:rFonts w:asciiTheme="minorHAnsi" w:hAnsiTheme="minorHAnsi" w:cs="Times New Roman"/>
        <w:b/>
        <w:color w:val="7F7F7F" w:themeColor="text1" w:themeTint="80"/>
        <w:sz w:val="20"/>
        <w:szCs w:val="22"/>
      </w:rPr>
      <w:t>(</w:t>
    </w:r>
    <w:r w:rsidR="00414C25">
      <w:rPr>
        <w:rFonts w:asciiTheme="minorHAnsi" w:hAnsiTheme="minorHAnsi" w:cs="Times New Roman"/>
        <w:b/>
        <w:color w:val="7F7F7F" w:themeColor="text1" w:themeTint="80"/>
        <w:sz w:val="20"/>
        <w:szCs w:val="22"/>
      </w:rPr>
      <w:t>UK</w:t>
    </w:r>
    <w:r w:rsidR="005C305C" w:rsidRPr="005C305C">
      <w:rPr>
        <w:rFonts w:asciiTheme="minorHAnsi" w:hAnsiTheme="minorHAnsi" w:cs="Times New Roman"/>
        <w:b/>
        <w:color w:val="7F7F7F" w:themeColor="text1" w:themeTint="80"/>
        <w:sz w:val="20"/>
        <w:szCs w:val="22"/>
      </w:rPr>
      <w:t xml:space="preserve">), </w:t>
    </w:r>
    <w:proofErr w:type="gramStart"/>
    <w:r>
      <w:rPr>
        <w:rFonts w:asciiTheme="minorHAnsi" w:hAnsiTheme="minorHAnsi" w:cs="Times New Roman"/>
        <w:b/>
        <w:color w:val="7F7F7F" w:themeColor="text1" w:themeTint="80"/>
        <w:sz w:val="20"/>
        <w:szCs w:val="22"/>
      </w:rPr>
      <w:t>31</w:t>
    </w:r>
    <w:r w:rsidR="005C305C" w:rsidRPr="005C305C">
      <w:rPr>
        <w:rFonts w:asciiTheme="minorHAnsi" w:hAnsiTheme="minorHAnsi" w:cs="Times New Roman"/>
        <w:b/>
        <w:color w:val="7F7F7F" w:themeColor="text1" w:themeTint="80"/>
        <w:sz w:val="20"/>
        <w:szCs w:val="22"/>
        <w:vertAlign w:val="superscript"/>
      </w:rPr>
      <w:t>th</w:t>
    </w:r>
    <w:proofErr w:type="gramEnd"/>
    <w:r w:rsidR="005C305C" w:rsidRPr="005C305C">
      <w:rPr>
        <w:rFonts w:asciiTheme="minorHAnsi" w:hAnsiTheme="minorHAnsi" w:cs="Times New Roman"/>
        <w:b/>
        <w:color w:val="7F7F7F" w:themeColor="text1" w:themeTint="80"/>
        <w:sz w:val="20"/>
        <w:szCs w:val="22"/>
      </w:rPr>
      <w:t xml:space="preserve"> </w:t>
    </w:r>
    <w:r>
      <w:rPr>
        <w:rFonts w:asciiTheme="minorHAnsi" w:hAnsiTheme="minorHAnsi" w:cs="Times New Roman"/>
        <w:b/>
        <w:color w:val="7F7F7F" w:themeColor="text1" w:themeTint="80"/>
        <w:sz w:val="20"/>
        <w:szCs w:val="22"/>
      </w:rPr>
      <w:t>August – 4</w:t>
    </w:r>
    <w:r w:rsidR="005C305C" w:rsidRPr="005C305C">
      <w:rPr>
        <w:rFonts w:asciiTheme="minorHAnsi" w:hAnsiTheme="minorHAnsi" w:cs="Times New Roman"/>
        <w:b/>
        <w:color w:val="7F7F7F" w:themeColor="text1" w:themeTint="80"/>
        <w:sz w:val="20"/>
        <w:szCs w:val="22"/>
        <w:vertAlign w:val="superscript"/>
      </w:rPr>
      <w:t>th</w:t>
    </w:r>
    <w:r w:rsidR="005C305C" w:rsidRPr="005C305C">
      <w:rPr>
        <w:rFonts w:asciiTheme="minorHAnsi" w:hAnsiTheme="minorHAnsi" w:cs="Times New Roman"/>
        <w:b/>
        <w:color w:val="7F7F7F" w:themeColor="text1" w:themeTint="80"/>
        <w:sz w:val="20"/>
        <w:szCs w:val="22"/>
      </w:rPr>
      <w:t xml:space="preserve"> </w:t>
    </w:r>
    <w:proofErr w:type="gramStart"/>
    <w:r>
      <w:rPr>
        <w:rFonts w:asciiTheme="minorHAnsi" w:hAnsiTheme="minorHAnsi" w:cs="Times New Roman"/>
        <w:b/>
        <w:color w:val="7F7F7F" w:themeColor="text1" w:themeTint="80"/>
        <w:sz w:val="20"/>
        <w:szCs w:val="22"/>
      </w:rPr>
      <w:t>September</w:t>
    </w:r>
    <w:r w:rsidR="00414C25">
      <w:rPr>
        <w:rFonts w:asciiTheme="minorHAnsi" w:hAnsiTheme="minorHAnsi" w:cs="Times New Roman"/>
        <w:b/>
        <w:color w:val="7F7F7F" w:themeColor="text1" w:themeTint="80"/>
        <w:sz w:val="20"/>
        <w:szCs w:val="22"/>
      </w:rPr>
      <w:t>,</w:t>
    </w:r>
    <w:proofErr w:type="gramEnd"/>
    <w:r w:rsidR="00414C25">
      <w:rPr>
        <w:rFonts w:asciiTheme="minorHAnsi" w:hAnsiTheme="minorHAnsi" w:cs="Times New Roman"/>
        <w:b/>
        <w:color w:val="7F7F7F" w:themeColor="text1" w:themeTint="80"/>
        <w:sz w:val="20"/>
        <w:szCs w:val="22"/>
      </w:rPr>
      <w:t xml:space="preserve"> 202</w:t>
    </w:r>
    <w:r>
      <w:rPr>
        <w:rFonts w:asciiTheme="minorHAnsi" w:hAnsiTheme="minorHAnsi" w:cs="Times New Roman"/>
        <w:b/>
        <w:color w:val="7F7F7F" w:themeColor="text1" w:themeTint="80"/>
        <w:sz w:val="20"/>
        <w:szCs w:val="22"/>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0F4434"/>
    <w:multiLevelType w:val="hybridMultilevel"/>
    <w:tmpl w:val="91025D78"/>
    <w:lvl w:ilvl="0" w:tplc="04090001">
      <w:start w:val="1"/>
      <w:numFmt w:val="bullet"/>
      <w:lvlText w:val=""/>
      <w:lvlJc w:val="left"/>
      <w:pPr>
        <w:tabs>
          <w:tab w:val="num" w:pos="1004"/>
        </w:tabs>
        <w:ind w:left="1004" w:hanging="360"/>
      </w:pPr>
      <w:rPr>
        <w:rFonts w:ascii="Symbol" w:hAnsi="Symbol" w:hint="default"/>
      </w:rPr>
    </w:lvl>
    <w:lvl w:ilvl="1" w:tplc="04090003">
      <w:start w:val="1"/>
      <w:numFmt w:val="bullet"/>
      <w:lvlText w:val="o"/>
      <w:lvlJc w:val="left"/>
      <w:pPr>
        <w:tabs>
          <w:tab w:val="num" w:pos="1724"/>
        </w:tabs>
        <w:ind w:left="1724" w:hanging="360"/>
      </w:pPr>
      <w:rPr>
        <w:rFonts w:ascii="Courier New" w:hAnsi="Courier New" w:hint="default"/>
      </w:rPr>
    </w:lvl>
    <w:lvl w:ilvl="2" w:tplc="04090005">
      <w:start w:val="1"/>
      <w:numFmt w:val="bullet"/>
      <w:lvlText w:val=""/>
      <w:lvlJc w:val="left"/>
      <w:pPr>
        <w:tabs>
          <w:tab w:val="num" w:pos="2444"/>
        </w:tabs>
        <w:ind w:left="2444" w:hanging="360"/>
      </w:pPr>
      <w:rPr>
        <w:rFonts w:ascii="Wingdings" w:hAnsi="Wingdings" w:hint="default"/>
      </w:rPr>
    </w:lvl>
    <w:lvl w:ilvl="3" w:tplc="04090001">
      <w:start w:val="1"/>
      <w:numFmt w:val="bullet"/>
      <w:lvlText w:val=""/>
      <w:lvlJc w:val="left"/>
      <w:pPr>
        <w:tabs>
          <w:tab w:val="num" w:pos="3164"/>
        </w:tabs>
        <w:ind w:left="3164" w:hanging="360"/>
      </w:pPr>
      <w:rPr>
        <w:rFonts w:ascii="Symbol" w:hAnsi="Symbol" w:hint="default"/>
      </w:rPr>
    </w:lvl>
    <w:lvl w:ilvl="4" w:tplc="04090003">
      <w:start w:val="1"/>
      <w:numFmt w:val="bullet"/>
      <w:lvlText w:val="o"/>
      <w:lvlJc w:val="left"/>
      <w:pPr>
        <w:tabs>
          <w:tab w:val="num" w:pos="3884"/>
        </w:tabs>
        <w:ind w:left="3884" w:hanging="360"/>
      </w:pPr>
      <w:rPr>
        <w:rFonts w:ascii="Courier New" w:hAnsi="Courier New" w:hint="default"/>
      </w:rPr>
    </w:lvl>
    <w:lvl w:ilvl="5" w:tplc="04090005">
      <w:start w:val="1"/>
      <w:numFmt w:val="bullet"/>
      <w:lvlText w:val=""/>
      <w:lvlJc w:val="left"/>
      <w:pPr>
        <w:tabs>
          <w:tab w:val="num" w:pos="4604"/>
        </w:tabs>
        <w:ind w:left="4604" w:hanging="360"/>
      </w:pPr>
      <w:rPr>
        <w:rFonts w:ascii="Wingdings" w:hAnsi="Wingdings" w:hint="default"/>
      </w:rPr>
    </w:lvl>
    <w:lvl w:ilvl="6" w:tplc="04090001">
      <w:start w:val="1"/>
      <w:numFmt w:val="bullet"/>
      <w:lvlText w:val=""/>
      <w:lvlJc w:val="left"/>
      <w:pPr>
        <w:tabs>
          <w:tab w:val="num" w:pos="5324"/>
        </w:tabs>
        <w:ind w:left="5324" w:hanging="360"/>
      </w:pPr>
      <w:rPr>
        <w:rFonts w:ascii="Symbol" w:hAnsi="Symbol" w:hint="default"/>
      </w:rPr>
    </w:lvl>
    <w:lvl w:ilvl="7" w:tplc="04090003">
      <w:start w:val="1"/>
      <w:numFmt w:val="bullet"/>
      <w:lvlText w:val="o"/>
      <w:lvlJc w:val="left"/>
      <w:pPr>
        <w:tabs>
          <w:tab w:val="num" w:pos="6044"/>
        </w:tabs>
        <w:ind w:left="6044" w:hanging="360"/>
      </w:pPr>
      <w:rPr>
        <w:rFonts w:ascii="Courier New" w:hAnsi="Courier New" w:hint="default"/>
      </w:rPr>
    </w:lvl>
    <w:lvl w:ilvl="8" w:tplc="04090005">
      <w:start w:val="1"/>
      <w:numFmt w:val="bullet"/>
      <w:lvlText w:val=""/>
      <w:lvlJc w:val="left"/>
      <w:pPr>
        <w:tabs>
          <w:tab w:val="num" w:pos="6764"/>
        </w:tabs>
        <w:ind w:left="6764" w:hanging="360"/>
      </w:pPr>
      <w:rPr>
        <w:rFonts w:ascii="Wingdings" w:hAnsi="Wingdings" w:hint="default"/>
      </w:rPr>
    </w:lvl>
  </w:abstractNum>
  <w:num w:numId="1" w16cid:durableId="18615823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HyphenateCaps/>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2212"/>
    <w:rsid w:val="000908E8"/>
    <w:rsid w:val="000D2FA6"/>
    <w:rsid w:val="000E068C"/>
    <w:rsid w:val="000E2212"/>
    <w:rsid w:val="001074BF"/>
    <w:rsid w:val="00121503"/>
    <w:rsid w:val="0015339B"/>
    <w:rsid w:val="00193928"/>
    <w:rsid w:val="00231302"/>
    <w:rsid w:val="00253636"/>
    <w:rsid w:val="00263205"/>
    <w:rsid w:val="00274257"/>
    <w:rsid w:val="002A2BE3"/>
    <w:rsid w:val="002D2CBB"/>
    <w:rsid w:val="002E2D20"/>
    <w:rsid w:val="00347A46"/>
    <w:rsid w:val="00353EAC"/>
    <w:rsid w:val="00365F82"/>
    <w:rsid w:val="00371522"/>
    <w:rsid w:val="00414C25"/>
    <w:rsid w:val="00455BDA"/>
    <w:rsid w:val="00464BEB"/>
    <w:rsid w:val="004931DE"/>
    <w:rsid w:val="004B6472"/>
    <w:rsid w:val="004C64EB"/>
    <w:rsid w:val="004E30A4"/>
    <w:rsid w:val="00501487"/>
    <w:rsid w:val="005469D9"/>
    <w:rsid w:val="005545FA"/>
    <w:rsid w:val="00586A94"/>
    <w:rsid w:val="005923FF"/>
    <w:rsid w:val="005A089E"/>
    <w:rsid w:val="005B2556"/>
    <w:rsid w:val="005C305C"/>
    <w:rsid w:val="005C41E1"/>
    <w:rsid w:val="005F7FCC"/>
    <w:rsid w:val="0061348E"/>
    <w:rsid w:val="00641F63"/>
    <w:rsid w:val="0066218E"/>
    <w:rsid w:val="00670F65"/>
    <w:rsid w:val="006A41DD"/>
    <w:rsid w:val="006B6FA2"/>
    <w:rsid w:val="006C3A1F"/>
    <w:rsid w:val="006D29C2"/>
    <w:rsid w:val="00736CAF"/>
    <w:rsid w:val="00790F76"/>
    <w:rsid w:val="007C1576"/>
    <w:rsid w:val="007C5B23"/>
    <w:rsid w:val="007D40D8"/>
    <w:rsid w:val="007F6CCF"/>
    <w:rsid w:val="00803424"/>
    <w:rsid w:val="0081503C"/>
    <w:rsid w:val="00835925"/>
    <w:rsid w:val="008373DC"/>
    <w:rsid w:val="0085659C"/>
    <w:rsid w:val="008A5395"/>
    <w:rsid w:val="008B09B5"/>
    <w:rsid w:val="008C03F5"/>
    <w:rsid w:val="0099331B"/>
    <w:rsid w:val="009B4373"/>
    <w:rsid w:val="009B7FE3"/>
    <w:rsid w:val="009D652E"/>
    <w:rsid w:val="009D76BD"/>
    <w:rsid w:val="009E0690"/>
    <w:rsid w:val="009E270C"/>
    <w:rsid w:val="009E5FC0"/>
    <w:rsid w:val="009F2461"/>
    <w:rsid w:val="00A462F7"/>
    <w:rsid w:val="00A557B0"/>
    <w:rsid w:val="00A805D7"/>
    <w:rsid w:val="00A9642A"/>
    <w:rsid w:val="00AA11ED"/>
    <w:rsid w:val="00AC16A9"/>
    <w:rsid w:val="00AD0CB5"/>
    <w:rsid w:val="00AF4182"/>
    <w:rsid w:val="00AF4C78"/>
    <w:rsid w:val="00B70E27"/>
    <w:rsid w:val="00C7427E"/>
    <w:rsid w:val="00C75D52"/>
    <w:rsid w:val="00CB1F1E"/>
    <w:rsid w:val="00CB6020"/>
    <w:rsid w:val="00CD29C8"/>
    <w:rsid w:val="00CF7596"/>
    <w:rsid w:val="00D334E6"/>
    <w:rsid w:val="00D412F4"/>
    <w:rsid w:val="00D656A7"/>
    <w:rsid w:val="00D808D2"/>
    <w:rsid w:val="00D8300D"/>
    <w:rsid w:val="00D90AA2"/>
    <w:rsid w:val="00E4528E"/>
    <w:rsid w:val="00E519B2"/>
    <w:rsid w:val="00E80C4B"/>
    <w:rsid w:val="00E931EB"/>
    <w:rsid w:val="00ED3DD1"/>
    <w:rsid w:val="00EE08EF"/>
    <w:rsid w:val="00EE79AA"/>
    <w:rsid w:val="00EF2E31"/>
    <w:rsid w:val="00F0375E"/>
    <w:rsid w:val="00F778AE"/>
    <w:rsid w:val="00F83434"/>
    <w:rsid w:val="00F932FB"/>
    <w:rsid w:val="00FC091B"/>
    <w:rsid w:val="00FD6BE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482C5AB"/>
  <w14:defaultImageDpi w14:val="0"/>
  <w15:docId w15:val="{B099DFF7-1845-4979-84AA-30C0C538D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autoSpaceDE w:val="0"/>
      <w:autoSpaceDN w:val="0"/>
      <w:jc w:val="both"/>
    </w:pPr>
    <w:rPr>
      <w:rFonts w:ascii="Palatino" w:eastAsia="MS Mincho" w:hAnsi="Palatino" w:cs="Palatino"/>
      <w:color w:val="000000"/>
      <w:sz w:val="24"/>
      <w:szCs w:val="24"/>
      <w:lang w:val="en-US"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Pr>
      <w:rFonts w:ascii="Times New Roman" w:hAnsi="Times New Roman" w:cs="Times New Roman"/>
      <w:color w:val="0000FF"/>
      <w:u w:val="single"/>
    </w:rPr>
  </w:style>
  <w:style w:type="paragraph" w:styleId="BodyText2">
    <w:name w:val="Body Text 2"/>
    <w:basedOn w:val="Normal"/>
    <w:link w:val="BodyText2Char"/>
    <w:uiPriority w:val="99"/>
    <w:pPr>
      <w:ind w:firstLine="284"/>
    </w:pPr>
    <w:rPr>
      <w:sz w:val="22"/>
      <w:szCs w:val="22"/>
    </w:rPr>
  </w:style>
  <w:style w:type="character" w:customStyle="1" w:styleId="BodyText2Char">
    <w:name w:val="Body Text 2 Char"/>
    <w:basedOn w:val="DefaultParagraphFont"/>
    <w:link w:val="BodyText2"/>
    <w:uiPriority w:val="99"/>
    <w:semiHidden/>
    <w:locked/>
    <w:rPr>
      <w:rFonts w:ascii="Palatino" w:eastAsia="MS Mincho" w:hAnsi="Palatino" w:cs="Palatino"/>
      <w:color w:val="000000"/>
      <w:sz w:val="24"/>
      <w:szCs w:val="24"/>
      <w:lang w:val="en-US" w:eastAsia="ja-JP"/>
    </w:rPr>
  </w:style>
  <w:style w:type="paragraph" w:styleId="PlainText">
    <w:name w:val="Plain Text"/>
    <w:basedOn w:val="Normal"/>
    <w:link w:val="PlainTextChar"/>
    <w:uiPriority w:val="99"/>
    <w:pPr>
      <w:jc w:val="left"/>
    </w:pPr>
    <w:rPr>
      <w:rFonts w:ascii="Courier New" w:hAnsi="Courier New" w:cs="Courier New"/>
      <w:color w:val="auto"/>
      <w:sz w:val="20"/>
      <w:szCs w:val="20"/>
    </w:rPr>
  </w:style>
  <w:style w:type="character" w:customStyle="1" w:styleId="PlainTextChar">
    <w:name w:val="Plain Text Char"/>
    <w:basedOn w:val="DefaultParagraphFont"/>
    <w:link w:val="PlainText"/>
    <w:uiPriority w:val="99"/>
    <w:semiHidden/>
    <w:locked/>
    <w:rPr>
      <w:rFonts w:ascii="Courier New" w:eastAsia="MS Mincho" w:hAnsi="Courier New" w:cs="Courier New"/>
      <w:color w:val="000000"/>
      <w:lang w:val="en-US" w:eastAsia="ja-JP"/>
    </w:rPr>
  </w:style>
  <w:style w:type="paragraph" w:styleId="BodyTextIndent2">
    <w:name w:val="Body Text Indent 2"/>
    <w:basedOn w:val="Normal"/>
    <w:link w:val="BodyTextIndent2Char"/>
    <w:uiPriority w:val="99"/>
    <w:pPr>
      <w:ind w:firstLine="284"/>
      <w:jc w:val="left"/>
    </w:pPr>
    <w:rPr>
      <w:b/>
      <w:bCs/>
      <w:sz w:val="22"/>
      <w:szCs w:val="22"/>
    </w:rPr>
  </w:style>
  <w:style w:type="character" w:customStyle="1" w:styleId="BodyTextIndent2Char">
    <w:name w:val="Body Text Indent 2 Char"/>
    <w:basedOn w:val="DefaultParagraphFont"/>
    <w:link w:val="BodyTextIndent2"/>
    <w:uiPriority w:val="99"/>
    <w:semiHidden/>
    <w:locked/>
    <w:rPr>
      <w:rFonts w:ascii="Palatino" w:eastAsia="MS Mincho" w:hAnsi="Palatino" w:cs="Palatino"/>
      <w:color w:val="000000"/>
      <w:sz w:val="24"/>
      <w:szCs w:val="24"/>
      <w:lang w:val="en-US" w:eastAsia="ja-JP"/>
    </w:rPr>
  </w:style>
  <w:style w:type="paragraph" w:styleId="BodyTextIndent3">
    <w:name w:val="Body Text Indent 3"/>
    <w:basedOn w:val="Normal"/>
    <w:link w:val="BodyTextIndent3Char"/>
    <w:uiPriority w:val="99"/>
    <w:pPr>
      <w:ind w:firstLine="284"/>
    </w:pPr>
    <w:rPr>
      <w:rFonts w:ascii="Times New Roman" w:hAnsi="Times New Roman" w:cs="Times New Roman"/>
      <w:b/>
      <w:bCs/>
      <w:sz w:val="22"/>
      <w:szCs w:val="22"/>
    </w:rPr>
  </w:style>
  <w:style w:type="character" w:customStyle="1" w:styleId="BodyTextIndent3Char">
    <w:name w:val="Body Text Indent 3 Char"/>
    <w:basedOn w:val="DefaultParagraphFont"/>
    <w:link w:val="BodyTextIndent3"/>
    <w:uiPriority w:val="99"/>
    <w:semiHidden/>
    <w:locked/>
    <w:rPr>
      <w:rFonts w:ascii="Palatino" w:eastAsia="MS Mincho" w:hAnsi="Palatino" w:cs="Palatino"/>
      <w:color w:val="000000"/>
      <w:sz w:val="16"/>
      <w:szCs w:val="16"/>
      <w:lang w:val="en-US" w:eastAsia="ja-JP"/>
    </w:rPr>
  </w:style>
  <w:style w:type="paragraph" w:styleId="Header">
    <w:name w:val="header"/>
    <w:basedOn w:val="Normal"/>
    <w:link w:val="HeaderChar"/>
    <w:uiPriority w:val="99"/>
    <w:rsid w:val="00E4528E"/>
    <w:pPr>
      <w:tabs>
        <w:tab w:val="center" w:pos="4320"/>
        <w:tab w:val="right" w:pos="8640"/>
      </w:tabs>
    </w:pPr>
  </w:style>
  <w:style w:type="character" w:customStyle="1" w:styleId="HeaderChar">
    <w:name w:val="Header Char"/>
    <w:basedOn w:val="DefaultParagraphFont"/>
    <w:link w:val="Header"/>
    <w:uiPriority w:val="99"/>
    <w:semiHidden/>
    <w:locked/>
    <w:rPr>
      <w:rFonts w:ascii="Palatino" w:eastAsia="MS Mincho" w:hAnsi="Palatino" w:cs="Palatino"/>
      <w:color w:val="000000"/>
      <w:sz w:val="24"/>
      <w:szCs w:val="24"/>
      <w:lang w:val="en-US" w:eastAsia="ja-JP"/>
    </w:rPr>
  </w:style>
  <w:style w:type="paragraph" w:styleId="Footer">
    <w:name w:val="footer"/>
    <w:basedOn w:val="Normal"/>
    <w:link w:val="FooterChar"/>
    <w:uiPriority w:val="99"/>
    <w:rsid w:val="00E4528E"/>
    <w:pPr>
      <w:tabs>
        <w:tab w:val="center" w:pos="4320"/>
        <w:tab w:val="right" w:pos="8640"/>
      </w:tabs>
    </w:pPr>
  </w:style>
  <w:style w:type="character" w:customStyle="1" w:styleId="FooterChar">
    <w:name w:val="Footer Char"/>
    <w:basedOn w:val="DefaultParagraphFont"/>
    <w:link w:val="Footer"/>
    <w:uiPriority w:val="99"/>
    <w:semiHidden/>
    <w:locked/>
    <w:rPr>
      <w:rFonts w:ascii="Palatino" w:eastAsia="MS Mincho" w:hAnsi="Palatino" w:cs="Palatino"/>
      <w:color w:val="000000"/>
      <w:sz w:val="24"/>
      <w:szCs w:val="24"/>
      <w:lang w:val="en-US" w:eastAsia="ja-JP"/>
    </w:rPr>
  </w:style>
  <w:style w:type="character" w:styleId="PageNumber">
    <w:name w:val="page number"/>
    <w:basedOn w:val="DefaultParagraphFont"/>
    <w:uiPriority w:val="99"/>
    <w:rsid w:val="00E4528E"/>
    <w:rPr>
      <w:rFonts w:cs="Times New Roman"/>
    </w:rPr>
  </w:style>
  <w:style w:type="character" w:styleId="UnresolvedMention">
    <w:name w:val="Unresolved Mention"/>
    <w:basedOn w:val="DefaultParagraphFont"/>
    <w:uiPriority w:val="99"/>
    <w:semiHidden/>
    <w:unhideWhenUsed/>
    <w:rsid w:val="00274257"/>
    <w:rPr>
      <w:rFonts w:cs="Times New Roman"/>
      <w:color w:val="605E5C"/>
      <w:shd w:val="clear" w:color="auto" w:fill="E1DFDD"/>
    </w:rPr>
  </w:style>
  <w:style w:type="paragraph" w:styleId="Bibliography">
    <w:name w:val="Bibliography"/>
    <w:basedOn w:val="Normal"/>
    <w:next w:val="Normal"/>
    <w:uiPriority w:val="37"/>
    <w:unhideWhenUsed/>
    <w:rsid w:val="00C7427E"/>
    <w:pPr>
      <w:tabs>
        <w:tab w:val="left" w:pos="140"/>
        <w:tab w:val="left" w:pos="260"/>
        <w:tab w:val="left" w:pos="380"/>
      </w:tabs>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496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747</Words>
  <Characters>4139</Characters>
  <Application>Microsoft Office Word</Application>
  <DocSecurity>0</DocSecurity>
  <Lines>94</Lines>
  <Paragraphs>58</Paragraphs>
  <ScaleCrop>false</ScaleCrop>
  <HeadingPairs>
    <vt:vector size="2" baseType="variant">
      <vt:variant>
        <vt:lpstr>Title</vt:lpstr>
      </vt:variant>
      <vt:variant>
        <vt:i4>1</vt:i4>
      </vt:variant>
    </vt:vector>
  </HeadingPairs>
  <TitlesOfParts>
    <vt:vector size="1" baseType="lpstr">
      <vt:lpstr>Abstract Template for 6th International Conference on</vt:lpstr>
    </vt:vector>
  </TitlesOfParts>
  <Company>ICPM-6</Company>
  <LinksUpToDate>false</LinksUpToDate>
  <CharactersWithSpaces>4828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Abstract Template for 6th International Conference on</dc:title>
  <dc:subject/>
  <dc:creator>ICPM-6</dc:creator>
  <cp:keywords/>
  <dc:description/>
  <cp:lastModifiedBy>Klaas Wynne</cp:lastModifiedBy>
  <cp:revision>6</cp:revision>
  <cp:lastPrinted>2016-01-14T19:34:00Z</cp:lastPrinted>
  <dcterms:created xsi:type="dcterms:W3CDTF">2026-01-08T10:24:00Z</dcterms:created>
  <dcterms:modified xsi:type="dcterms:W3CDTF">2026-01-30T16:03:00Z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zotero-version="8.0.1"&gt;&lt;session id="yenzC8tz"/&gt;&lt;style id="http://www.zotero.org/styles/the-journal-of-physical-chemistry-letters" hasBibliography="1" bibliographyStyleHasBeenSet="1"/&gt;&lt;prefs&gt;&lt;pref name="fieldType" value="Field"/&gt;&lt;/pr</vt:lpwstr>
  </property>
  <property fmtid="{D5CDD505-2E9C-101B-9397-08002B2CF9AE}" pid="3" name="ZOTERO_PREF_2">
    <vt:lpwstr>efs&gt;&lt;/data&gt;</vt:lpwstr>
  </property>
</Properties>
</file>