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178"/>
        <w:gridCol w:w="3690"/>
        <w:gridCol w:w="3708"/>
      </w:tblGrid>
      <w:tr w:rsidR="00D5162D" w:rsidTr="00D5162D">
        <w:tc>
          <w:tcPr>
            <w:tcW w:w="2178" w:type="dxa"/>
          </w:tcPr>
          <w:p w:rsidR="00D5162D" w:rsidRDefault="00D5162D">
            <w:r>
              <w:t>Ad hoc</w:t>
            </w:r>
          </w:p>
        </w:tc>
        <w:tc>
          <w:tcPr>
            <w:tcW w:w="3690" w:type="dxa"/>
          </w:tcPr>
          <w:p w:rsidR="00D5162D" w:rsidRDefault="00D5162D">
            <w:r>
              <w:t>“to/towards this”, for this purpose</w:t>
            </w:r>
          </w:p>
        </w:tc>
        <w:tc>
          <w:tcPr>
            <w:tcW w:w="3708" w:type="dxa"/>
          </w:tcPr>
          <w:p w:rsidR="00D5162D" w:rsidRDefault="00D5162D">
            <w:r>
              <w:t>I created several ad hoc study guides.</w:t>
            </w:r>
          </w:p>
        </w:tc>
      </w:tr>
      <w:tr w:rsidR="00D5162D" w:rsidTr="00D5162D">
        <w:tc>
          <w:tcPr>
            <w:tcW w:w="2178" w:type="dxa"/>
          </w:tcPr>
          <w:p w:rsidR="00D5162D" w:rsidRDefault="00D5162D">
            <w:r>
              <w:t>Ad infinitum</w:t>
            </w:r>
          </w:p>
        </w:tc>
        <w:tc>
          <w:tcPr>
            <w:tcW w:w="3690" w:type="dxa"/>
          </w:tcPr>
          <w:p w:rsidR="00D5162D" w:rsidRDefault="00D5162D">
            <w:r>
              <w:t>“to/until infinity”, and so on and so on</w:t>
            </w:r>
            <w:r w:rsidR="00442B03">
              <w:rPr>
                <w:rStyle w:val="FootnoteReference"/>
              </w:rPr>
              <w:footnoteReference w:id="1"/>
            </w:r>
          </w:p>
        </w:tc>
        <w:tc>
          <w:tcPr>
            <w:tcW w:w="3708" w:type="dxa"/>
          </w:tcPr>
          <w:p w:rsidR="00D5162D" w:rsidRDefault="005F2C32">
            <w:r>
              <w:t xml:space="preserve">It can be proved that the sequence 1, 2, </w:t>
            </w:r>
            <w:proofErr w:type="gramStart"/>
            <w:r>
              <w:t>3, …</w:t>
            </w:r>
            <w:proofErr w:type="gramEnd"/>
            <w:r>
              <w:t xml:space="preserve"> continues ad infinitum.</w:t>
            </w:r>
          </w:p>
        </w:tc>
      </w:tr>
      <w:tr w:rsidR="00D5162D" w:rsidTr="00D5162D">
        <w:tc>
          <w:tcPr>
            <w:tcW w:w="2178" w:type="dxa"/>
          </w:tcPr>
          <w:p w:rsidR="00D5162D" w:rsidRDefault="00D5162D" w:rsidP="00D5162D">
            <w:r>
              <w:t xml:space="preserve">Ad lib, </w:t>
            </w:r>
            <w:r w:rsidRPr="00D5162D">
              <w:rPr>
                <w:i/>
              </w:rPr>
              <w:t>ad libitum</w:t>
            </w:r>
          </w:p>
        </w:tc>
        <w:tc>
          <w:tcPr>
            <w:tcW w:w="3690" w:type="dxa"/>
          </w:tcPr>
          <w:p w:rsidR="00D5162D" w:rsidRDefault="00D5162D">
            <w:r>
              <w:t>“</w:t>
            </w:r>
            <w:r w:rsidR="00660692">
              <w:t>according to</w:t>
            </w:r>
            <w:r>
              <w:t xml:space="preserve"> pleasure”, improvisation</w:t>
            </w:r>
          </w:p>
        </w:tc>
        <w:tc>
          <w:tcPr>
            <w:tcW w:w="3708" w:type="dxa"/>
          </w:tcPr>
          <w:p w:rsidR="00D5162D" w:rsidRDefault="005F2C32">
            <w:r>
              <w:t>When I saw the first question on the Roman Life exam of convention, I knew I was screwed so I began to ad-lib answers.</w:t>
            </w:r>
          </w:p>
        </w:tc>
      </w:tr>
      <w:tr w:rsidR="00D5162D" w:rsidTr="00D5162D">
        <w:tc>
          <w:tcPr>
            <w:tcW w:w="2178" w:type="dxa"/>
          </w:tcPr>
          <w:p w:rsidR="00D5162D" w:rsidRDefault="00D5162D">
            <w:r>
              <w:t>Ad nauseam</w:t>
            </w:r>
          </w:p>
        </w:tc>
        <w:tc>
          <w:tcPr>
            <w:tcW w:w="3690" w:type="dxa"/>
          </w:tcPr>
          <w:p w:rsidR="00D5162D" w:rsidRDefault="00D5162D">
            <w:r>
              <w:t>“to/until nausea”, and so on until the listener is so bored they vomit</w:t>
            </w:r>
          </w:p>
        </w:tc>
        <w:tc>
          <w:tcPr>
            <w:tcW w:w="3708" w:type="dxa"/>
          </w:tcPr>
          <w:p w:rsidR="00D5162D" w:rsidRPr="00D5162D" w:rsidRDefault="00D5162D">
            <w:r>
              <w:t xml:space="preserve">I shall petition </w:t>
            </w:r>
            <w:r>
              <w:rPr>
                <w:i/>
              </w:rPr>
              <w:t>ad nauseam</w:t>
            </w:r>
            <w:r>
              <w:t xml:space="preserve"> to these fools in Congress until they realize their folly.</w:t>
            </w:r>
          </w:p>
        </w:tc>
      </w:tr>
      <w:tr w:rsidR="00D5162D" w:rsidTr="00D5162D">
        <w:tc>
          <w:tcPr>
            <w:tcW w:w="2178" w:type="dxa"/>
          </w:tcPr>
          <w:p w:rsidR="00D5162D" w:rsidRDefault="00D5162D">
            <w:r>
              <w:t>Alibi (</w:t>
            </w:r>
            <w:r w:rsidR="00A54359">
              <w:t xml:space="preserve">used as a </w:t>
            </w:r>
            <w:r>
              <w:t>noun)</w:t>
            </w:r>
          </w:p>
        </w:tc>
        <w:tc>
          <w:tcPr>
            <w:tcW w:w="3690" w:type="dxa"/>
          </w:tcPr>
          <w:p w:rsidR="00D5162D" w:rsidRDefault="00D5162D">
            <w:r>
              <w:t>“in another place”</w:t>
            </w:r>
          </w:p>
        </w:tc>
        <w:tc>
          <w:tcPr>
            <w:tcW w:w="3708" w:type="dxa"/>
          </w:tcPr>
          <w:p w:rsidR="00D5162D" w:rsidRDefault="00D5162D">
            <w:r>
              <w:t>A maid’s evidence gave the butler an alibi and so clearly the butler was not the murderer in the crime.</w:t>
            </w:r>
          </w:p>
        </w:tc>
      </w:tr>
      <w:tr w:rsidR="00D5162D" w:rsidTr="00D5162D">
        <w:tc>
          <w:tcPr>
            <w:tcW w:w="2178" w:type="dxa"/>
          </w:tcPr>
          <w:p w:rsidR="00D5162D" w:rsidRDefault="00D5162D">
            <w:r>
              <w:t>Alibi (</w:t>
            </w:r>
            <w:r w:rsidR="00A54359">
              <w:t xml:space="preserve">used as an </w:t>
            </w:r>
            <w:r>
              <w:t>adverb)</w:t>
            </w:r>
          </w:p>
        </w:tc>
        <w:tc>
          <w:tcPr>
            <w:tcW w:w="3690" w:type="dxa"/>
          </w:tcPr>
          <w:p w:rsidR="00D5162D" w:rsidRDefault="00D5162D">
            <w:r>
              <w:t>“in another place”</w:t>
            </w:r>
          </w:p>
        </w:tc>
        <w:tc>
          <w:tcPr>
            <w:tcW w:w="3708" w:type="dxa"/>
          </w:tcPr>
          <w:p w:rsidR="00D5162D" w:rsidRDefault="00D5162D">
            <w:r>
              <w:t>The maid’s evidence showed that the butler was alibi.</w:t>
            </w:r>
          </w:p>
        </w:tc>
      </w:tr>
      <w:tr w:rsidR="00D5162D" w:rsidTr="00D5162D">
        <w:tc>
          <w:tcPr>
            <w:tcW w:w="2178" w:type="dxa"/>
          </w:tcPr>
          <w:p w:rsidR="00D5162D" w:rsidRDefault="00D5162D">
            <w:proofErr w:type="spellStart"/>
            <w:r>
              <w:t>Ars</w:t>
            </w:r>
            <w:proofErr w:type="spellEnd"/>
            <w:r>
              <w:t xml:space="preserve"> gratia </w:t>
            </w:r>
            <w:proofErr w:type="spellStart"/>
            <w:r>
              <w:t>artis</w:t>
            </w:r>
            <w:proofErr w:type="spellEnd"/>
          </w:p>
        </w:tc>
        <w:tc>
          <w:tcPr>
            <w:tcW w:w="3690" w:type="dxa"/>
          </w:tcPr>
          <w:p w:rsidR="00D5162D" w:rsidRDefault="00D5162D">
            <w:r>
              <w:t>“art for art’s sake”, showy because I feel like it</w:t>
            </w:r>
          </w:p>
        </w:tc>
        <w:tc>
          <w:tcPr>
            <w:tcW w:w="3708" w:type="dxa"/>
          </w:tcPr>
          <w:p w:rsidR="00D5162D" w:rsidRPr="00D5162D" w:rsidRDefault="00D5162D" w:rsidP="00A54359">
            <w:r>
              <w:t xml:space="preserve">I have </w:t>
            </w:r>
            <w:r w:rsidR="00A54359">
              <w:t>a ton of</w:t>
            </w:r>
            <w:r>
              <w:t xml:space="preserve"> flower stickers on my computer because </w:t>
            </w:r>
            <w:proofErr w:type="spellStart"/>
            <w:r>
              <w:rPr>
                <w:i/>
              </w:rPr>
              <w:t>ars</w:t>
            </w:r>
            <w:proofErr w:type="spellEnd"/>
            <w:r>
              <w:rPr>
                <w:i/>
              </w:rPr>
              <w:t xml:space="preserve"> gratia </w:t>
            </w:r>
            <w:proofErr w:type="spellStart"/>
            <w:r>
              <w:rPr>
                <w:i/>
              </w:rPr>
              <w:t>artis</w:t>
            </w:r>
            <w:proofErr w:type="spellEnd"/>
            <w:r>
              <w:t>.</w:t>
            </w:r>
          </w:p>
        </w:tc>
      </w:tr>
      <w:tr w:rsidR="00D5162D" w:rsidTr="00D5162D">
        <w:tc>
          <w:tcPr>
            <w:tcW w:w="2178" w:type="dxa"/>
          </w:tcPr>
          <w:p w:rsidR="00D5162D" w:rsidRDefault="00D5162D">
            <w:r>
              <w:t>Bona fide</w:t>
            </w:r>
            <w:r w:rsidR="00A54359">
              <w:t xml:space="preserve"> (classical usage)</w:t>
            </w:r>
          </w:p>
        </w:tc>
        <w:tc>
          <w:tcPr>
            <w:tcW w:w="3690" w:type="dxa"/>
          </w:tcPr>
          <w:p w:rsidR="00D5162D" w:rsidRDefault="00D5162D" w:rsidP="00D5162D">
            <w:r>
              <w:t>“with good faith”, genuine</w:t>
            </w:r>
          </w:p>
        </w:tc>
        <w:tc>
          <w:tcPr>
            <w:tcW w:w="3708" w:type="dxa"/>
          </w:tcPr>
          <w:p w:rsidR="00D5162D" w:rsidRDefault="0021293A">
            <w:r>
              <w:t xml:space="preserve">That bona fide gold I found in my backyard is </w:t>
            </w:r>
            <w:proofErr w:type="spellStart"/>
            <w:r>
              <w:t>gonna</w:t>
            </w:r>
            <w:proofErr w:type="spellEnd"/>
            <w:r>
              <w:t xml:space="preserve"> make me rich!</w:t>
            </w:r>
          </w:p>
        </w:tc>
      </w:tr>
      <w:tr w:rsidR="00D5162D" w:rsidTr="00D5162D">
        <w:tc>
          <w:tcPr>
            <w:tcW w:w="2178" w:type="dxa"/>
          </w:tcPr>
          <w:p w:rsidR="00D5162D" w:rsidRDefault="00A54359">
            <w:r>
              <w:t>Bona fide (more modern usage)</w:t>
            </w:r>
          </w:p>
        </w:tc>
        <w:tc>
          <w:tcPr>
            <w:tcW w:w="3690" w:type="dxa"/>
          </w:tcPr>
          <w:p w:rsidR="00D5162D" w:rsidRDefault="00D5162D" w:rsidP="00D5162D">
            <w:r>
              <w:t>“with good faith”, credentials</w:t>
            </w:r>
          </w:p>
        </w:tc>
        <w:tc>
          <w:tcPr>
            <w:tcW w:w="3708" w:type="dxa"/>
          </w:tcPr>
          <w:p w:rsidR="00D5162D" w:rsidRDefault="00D5162D">
            <w:r>
              <w:t>I have my bona fides right here to show the manager.</w:t>
            </w:r>
          </w:p>
        </w:tc>
      </w:tr>
      <w:tr w:rsidR="00D5162D" w:rsidTr="00D5162D">
        <w:tc>
          <w:tcPr>
            <w:tcW w:w="2178" w:type="dxa"/>
          </w:tcPr>
          <w:p w:rsidR="00D5162D" w:rsidRPr="00A54359" w:rsidRDefault="0021293A">
            <w:r>
              <w:t>Cui bono</w:t>
            </w:r>
            <w:r w:rsidR="00A54359">
              <w:t xml:space="preserve">, </w:t>
            </w:r>
            <w:r w:rsidR="00A54359">
              <w:rPr>
                <w:i/>
              </w:rPr>
              <w:t xml:space="preserve">cui </w:t>
            </w:r>
            <w:proofErr w:type="spellStart"/>
            <w:r w:rsidR="00A54359">
              <w:rPr>
                <w:i/>
              </w:rPr>
              <w:t>prodest</w:t>
            </w:r>
            <w:proofErr w:type="spellEnd"/>
          </w:p>
        </w:tc>
        <w:tc>
          <w:tcPr>
            <w:tcW w:w="3690" w:type="dxa"/>
          </w:tcPr>
          <w:p w:rsidR="00D5162D" w:rsidRDefault="0021293A" w:rsidP="00D5162D">
            <w:r>
              <w:t>“</w:t>
            </w:r>
            <w:proofErr w:type="gramStart"/>
            <w:r>
              <w:t>for</w:t>
            </w:r>
            <w:proofErr w:type="gramEnd"/>
            <w:r>
              <w:t xml:space="preserve"> whose good?”</w:t>
            </w:r>
          </w:p>
        </w:tc>
        <w:tc>
          <w:tcPr>
            <w:tcW w:w="3708" w:type="dxa"/>
          </w:tcPr>
          <w:p w:rsidR="00D5162D" w:rsidRPr="00A54359" w:rsidRDefault="00A54359">
            <w:r>
              <w:t>The famous Roman consul and censor</w:t>
            </w:r>
            <w:r w:rsidR="00AD5025">
              <w:rPr>
                <w:rStyle w:val="FootnoteReference"/>
              </w:rPr>
              <w:footnoteReference w:id="2"/>
            </w:r>
            <w:r>
              <w:t xml:space="preserve"> Lucius Cassius Longinus </w:t>
            </w:r>
            <w:proofErr w:type="spellStart"/>
            <w:r>
              <w:t>Ravilla</w:t>
            </w:r>
            <w:proofErr w:type="spellEnd"/>
            <w:r>
              <w:t xml:space="preserve">, an honest and wise judge, was always in the habit of asking, time and time again, </w:t>
            </w:r>
            <w:r>
              <w:rPr>
                <w:i/>
              </w:rPr>
              <w:t>cui bono?</w:t>
            </w:r>
            <w:r w:rsidR="00AD5025">
              <w:rPr>
                <w:rStyle w:val="FootnoteReference"/>
                <w:i/>
              </w:rPr>
              <w:footnoteReference w:id="3"/>
            </w:r>
          </w:p>
        </w:tc>
      </w:tr>
      <w:tr w:rsidR="00D5162D" w:rsidTr="00D5162D">
        <w:tc>
          <w:tcPr>
            <w:tcW w:w="2178" w:type="dxa"/>
          </w:tcPr>
          <w:p w:rsidR="00D5162D" w:rsidRDefault="0021293A">
            <w:r>
              <w:t>De facto</w:t>
            </w:r>
          </w:p>
        </w:tc>
        <w:tc>
          <w:tcPr>
            <w:tcW w:w="3690" w:type="dxa"/>
          </w:tcPr>
          <w:p w:rsidR="00D5162D" w:rsidRDefault="0021293A" w:rsidP="00D5162D">
            <w:r>
              <w:t>“in fact”, actual but not specifically recognized</w:t>
            </w:r>
          </w:p>
        </w:tc>
        <w:tc>
          <w:tcPr>
            <w:tcW w:w="3708" w:type="dxa"/>
          </w:tcPr>
          <w:p w:rsidR="00D5162D" w:rsidRDefault="0021293A">
            <w:r>
              <w:t xml:space="preserve">That broker is the de facto chairman of the company, not the chairman himself.  </w:t>
            </w:r>
          </w:p>
        </w:tc>
      </w:tr>
      <w:tr w:rsidR="00D5162D" w:rsidTr="00D5162D">
        <w:tc>
          <w:tcPr>
            <w:tcW w:w="2178" w:type="dxa"/>
          </w:tcPr>
          <w:p w:rsidR="00D5162D" w:rsidRDefault="0021293A">
            <w:r>
              <w:t>Exempli gratia (e.g.)</w:t>
            </w:r>
          </w:p>
        </w:tc>
        <w:tc>
          <w:tcPr>
            <w:tcW w:w="3690" w:type="dxa"/>
          </w:tcPr>
          <w:p w:rsidR="00D5162D" w:rsidRDefault="0021293A" w:rsidP="00D5162D">
            <w:r>
              <w:t>“for example”, for example</w:t>
            </w:r>
            <w:r w:rsidR="00442B03">
              <w:rPr>
                <w:rStyle w:val="FootnoteReference"/>
              </w:rPr>
              <w:footnoteReference w:id="4"/>
            </w:r>
          </w:p>
        </w:tc>
        <w:tc>
          <w:tcPr>
            <w:tcW w:w="3708" w:type="dxa"/>
          </w:tcPr>
          <w:p w:rsidR="00D5162D" w:rsidRDefault="0021293A">
            <w:r>
              <w:t>TJ Latin students have many enviable qualities, e.g. intelligence, maturity, and awesomeness.</w:t>
            </w:r>
          </w:p>
        </w:tc>
      </w:tr>
      <w:tr w:rsidR="00D5162D" w:rsidTr="00D5162D">
        <w:tc>
          <w:tcPr>
            <w:tcW w:w="2178" w:type="dxa"/>
          </w:tcPr>
          <w:p w:rsidR="00D5162D" w:rsidRDefault="0021293A">
            <w:r>
              <w:t xml:space="preserve">Et </w:t>
            </w:r>
            <w:proofErr w:type="spellStart"/>
            <w:r>
              <w:t>alii</w:t>
            </w:r>
            <w:proofErr w:type="spellEnd"/>
            <w:r>
              <w:t xml:space="preserve"> (et al.)</w:t>
            </w:r>
          </w:p>
        </w:tc>
        <w:tc>
          <w:tcPr>
            <w:tcW w:w="3690" w:type="dxa"/>
          </w:tcPr>
          <w:p w:rsidR="00D5162D" w:rsidRDefault="0021293A" w:rsidP="00D5162D">
            <w:r>
              <w:t>“and others”, and the rest of those guys</w:t>
            </w:r>
          </w:p>
        </w:tc>
        <w:tc>
          <w:tcPr>
            <w:tcW w:w="3708" w:type="dxa"/>
          </w:tcPr>
          <w:p w:rsidR="00D5162D" w:rsidRDefault="0021293A">
            <w:r>
              <w:t>When using APA citations, use et al. to indicate more than 2 authors.</w:t>
            </w:r>
          </w:p>
        </w:tc>
      </w:tr>
      <w:tr w:rsidR="00D5162D" w:rsidTr="00D5162D">
        <w:tc>
          <w:tcPr>
            <w:tcW w:w="2178" w:type="dxa"/>
          </w:tcPr>
          <w:p w:rsidR="00D5162D" w:rsidRDefault="0021293A">
            <w:r>
              <w:t xml:space="preserve">Et </w:t>
            </w:r>
            <w:r w:rsidR="00A54359">
              <w:t xml:space="preserve">cetera, </w:t>
            </w:r>
            <w:r w:rsidR="00A54359">
              <w:rPr>
                <w:i/>
              </w:rPr>
              <w:t xml:space="preserve">et </w:t>
            </w:r>
            <w:proofErr w:type="spellStart"/>
            <w:r w:rsidR="00A54359">
              <w:rPr>
                <w:i/>
              </w:rPr>
              <w:t>ceteros</w:t>
            </w:r>
            <w:proofErr w:type="spellEnd"/>
            <w:r w:rsidR="00A54359">
              <w:t xml:space="preserve">, </w:t>
            </w:r>
            <w:r>
              <w:t>(etc.)</w:t>
            </w:r>
            <w:r w:rsidR="00EF28F7">
              <w:t xml:space="preserve"> (&amp;c</w:t>
            </w:r>
            <w:r w:rsidR="00EF28F7">
              <w:rPr>
                <w:rStyle w:val="FootnoteReference"/>
              </w:rPr>
              <w:footnoteReference w:id="5"/>
            </w:r>
            <w:r w:rsidR="00EF28F7">
              <w:t>)</w:t>
            </w:r>
          </w:p>
        </w:tc>
        <w:tc>
          <w:tcPr>
            <w:tcW w:w="3690" w:type="dxa"/>
          </w:tcPr>
          <w:p w:rsidR="00D5162D" w:rsidRDefault="0021293A" w:rsidP="00D5162D">
            <w:r>
              <w:t>“and other things”, and so on (not to be confused with ad infinitum)</w:t>
            </w:r>
            <w:r w:rsidR="00442B03">
              <w:rPr>
                <w:rStyle w:val="FootnoteReference"/>
              </w:rPr>
              <w:footnoteReference w:id="6"/>
            </w:r>
          </w:p>
        </w:tc>
        <w:tc>
          <w:tcPr>
            <w:tcW w:w="3708" w:type="dxa"/>
          </w:tcPr>
          <w:p w:rsidR="00D5162D" w:rsidRDefault="005F2C32" w:rsidP="005F2C32">
            <w:r>
              <w:t xml:space="preserve">The &amp;c on a coin with Oliver Cromwell’s face on it indicated that </w:t>
            </w:r>
            <w:r>
              <w:lastRenderedPageBreak/>
              <w:t xml:space="preserve">Cromwell was a stubborn little guy because he never did renounce the English claims on the French mainland.  </w:t>
            </w:r>
          </w:p>
        </w:tc>
      </w:tr>
      <w:tr w:rsidR="00D5162D" w:rsidTr="00D5162D">
        <w:tc>
          <w:tcPr>
            <w:tcW w:w="2178" w:type="dxa"/>
          </w:tcPr>
          <w:p w:rsidR="00D5162D" w:rsidRDefault="0021293A">
            <w:r>
              <w:lastRenderedPageBreak/>
              <w:t xml:space="preserve">Id </w:t>
            </w:r>
            <w:proofErr w:type="spellStart"/>
            <w:r>
              <w:t>est</w:t>
            </w:r>
            <w:proofErr w:type="spellEnd"/>
            <w:r>
              <w:t xml:space="preserve"> (i.e.)</w:t>
            </w:r>
          </w:p>
        </w:tc>
        <w:tc>
          <w:tcPr>
            <w:tcW w:w="3690" w:type="dxa"/>
          </w:tcPr>
          <w:p w:rsidR="00D5162D" w:rsidRDefault="0021293A" w:rsidP="00442B03">
            <w:r>
              <w:t>“that is”, not to be confused with</w:t>
            </w:r>
            <w:r w:rsidR="00442B03">
              <w:rPr>
                <w:rStyle w:val="FootnoteReference"/>
              </w:rPr>
              <w:t>2</w:t>
            </w:r>
          </w:p>
        </w:tc>
        <w:tc>
          <w:tcPr>
            <w:tcW w:w="3708" w:type="dxa"/>
          </w:tcPr>
          <w:p w:rsidR="00D5162D" w:rsidRPr="0021293A" w:rsidRDefault="0021293A">
            <w:r>
              <w:t xml:space="preserve">I like citrus fruits, i.e. the juicy, edible fruits with leathery, aromatic rinds of any numerous, tropical, usually thorny shrubs or </w:t>
            </w:r>
            <w:proofErr w:type="gramStart"/>
            <w:r>
              <w:t>trees  of</w:t>
            </w:r>
            <w:proofErr w:type="gramEnd"/>
            <w:r>
              <w:t xml:space="preserve"> the genus </w:t>
            </w:r>
            <w:r>
              <w:rPr>
                <w:i/>
              </w:rPr>
              <w:t>Citrus</w:t>
            </w:r>
            <w:r>
              <w:t>.</w:t>
            </w:r>
          </w:p>
        </w:tc>
      </w:tr>
      <w:tr w:rsidR="00DD21F3" w:rsidTr="00D5162D">
        <w:tc>
          <w:tcPr>
            <w:tcW w:w="2178" w:type="dxa"/>
          </w:tcPr>
          <w:p w:rsidR="00DD21F3" w:rsidRDefault="00DD21F3">
            <w:r>
              <w:t>In medias res</w:t>
            </w:r>
            <w:r>
              <w:rPr>
                <w:rStyle w:val="FootnoteReference"/>
              </w:rPr>
              <w:footnoteReference w:id="7"/>
            </w:r>
          </w:p>
        </w:tc>
        <w:tc>
          <w:tcPr>
            <w:tcW w:w="3690" w:type="dxa"/>
          </w:tcPr>
          <w:p w:rsidR="00DD21F3" w:rsidRDefault="00DD21F3" w:rsidP="00442B03">
            <w:r>
              <w:t>“in the midst of things”, in the middle</w:t>
            </w:r>
          </w:p>
        </w:tc>
        <w:tc>
          <w:tcPr>
            <w:tcW w:w="3708" w:type="dxa"/>
          </w:tcPr>
          <w:p w:rsidR="00DD21F3" w:rsidRDefault="00DD21F3"/>
        </w:tc>
      </w:tr>
      <w:tr w:rsidR="00D5162D" w:rsidTr="00D5162D">
        <w:tc>
          <w:tcPr>
            <w:tcW w:w="2178" w:type="dxa"/>
          </w:tcPr>
          <w:p w:rsidR="00D5162D" w:rsidRDefault="00442B03">
            <w:r>
              <w:t>Modus operandi</w:t>
            </w:r>
            <w:r>
              <w:rPr>
                <w:rStyle w:val="FootnoteReference"/>
              </w:rPr>
              <w:footnoteReference w:id="8"/>
            </w:r>
          </w:p>
        </w:tc>
        <w:tc>
          <w:tcPr>
            <w:tcW w:w="3690" w:type="dxa"/>
          </w:tcPr>
          <w:p w:rsidR="00D5162D" w:rsidRDefault="00442B03" w:rsidP="00D5162D">
            <w:r>
              <w:t>“way of working”, typical method</w:t>
            </w:r>
          </w:p>
        </w:tc>
        <w:tc>
          <w:tcPr>
            <w:tcW w:w="3708" w:type="dxa"/>
          </w:tcPr>
          <w:p w:rsidR="00D5162D" w:rsidRDefault="00442B03" w:rsidP="005F2C32">
            <w:r>
              <w:t xml:space="preserve">The serial killer </w:t>
            </w:r>
            <w:r w:rsidR="00CD027F">
              <w:t xml:space="preserve">named </w:t>
            </w:r>
            <w:r>
              <w:t>Panda’s modus operandi was to hang people by orange scarves and leaving a bamboo ring; thus, he could not be the murderer of a victim who was beaten over the head with a poker.</w:t>
            </w:r>
          </w:p>
        </w:tc>
      </w:tr>
      <w:tr w:rsidR="00D5162D" w:rsidTr="00D5162D">
        <w:tc>
          <w:tcPr>
            <w:tcW w:w="2178" w:type="dxa"/>
          </w:tcPr>
          <w:p w:rsidR="00D5162D" w:rsidRDefault="00442B03">
            <w:r>
              <w:t xml:space="preserve">Nota </w:t>
            </w:r>
            <w:proofErr w:type="spellStart"/>
            <w:r>
              <w:t>bene</w:t>
            </w:r>
            <w:proofErr w:type="spellEnd"/>
            <w:r>
              <w:t xml:space="preserve"> (NB)</w:t>
            </w:r>
          </w:p>
        </w:tc>
        <w:tc>
          <w:tcPr>
            <w:tcW w:w="3690" w:type="dxa"/>
          </w:tcPr>
          <w:p w:rsidR="00D5162D" w:rsidRDefault="00442B03" w:rsidP="00D5162D">
            <w:r>
              <w:t>“note well”, take note of this</w:t>
            </w:r>
            <w:r>
              <w:rPr>
                <w:rStyle w:val="FootnoteReference"/>
              </w:rPr>
              <w:footnoteReference w:id="9"/>
            </w:r>
          </w:p>
        </w:tc>
        <w:tc>
          <w:tcPr>
            <w:tcW w:w="3708" w:type="dxa"/>
          </w:tcPr>
          <w:p w:rsidR="00D5162D" w:rsidRDefault="005F2C32">
            <w:r>
              <w:t>NB. “</w:t>
            </w:r>
            <w:proofErr w:type="gramStart"/>
            <w:r>
              <w:t>you</w:t>
            </w:r>
            <w:proofErr w:type="gramEnd"/>
            <w:r>
              <w:t xml:space="preserve"> (singular)” and “you (plural)” aren’t the same.</w:t>
            </w:r>
          </w:p>
        </w:tc>
      </w:tr>
      <w:tr w:rsidR="00D5162D" w:rsidTr="00D5162D">
        <w:tc>
          <w:tcPr>
            <w:tcW w:w="2178" w:type="dxa"/>
          </w:tcPr>
          <w:p w:rsidR="00D5162D" w:rsidRDefault="00442B03">
            <w:r>
              <w:t>Non sequitur</w:t>
            </w:r>
          </w:p>
        </w:tc>
        <w:tc>
          <w:tcPr>
            <w:tcW w:w="3690" w:type="dxa"/>
          </w:tcPr>
          <w:p w:rsidR="00D5162D" w:rsidRDefault="00442B03" w:rsidP="00D5162D">
            <w:r>
              <w:t>“does not follow”, it isn’t relevant that</w:t>
            </w:r>
          </w:p>
        </w:tc>
        <w:tc>
          <w:tcPr>
            <w:tcW w:w="3708" w:type="dxa"/>
          </w:tcPr>
          <w:p w:rsidR="00D5162D" w:rsidRDefault="00442B03">
            <w:r>
              <w:t xml:space="preserve">It was such a non sequitur for </w:t>
            </w:r>
            <w:r w:rsidR="00CD027F">
              <w:t>people to claim that Latin is a useless language because nobody speaks it anymore, because clearly, we Latin students are awesome and they are not.</w:t>
            </w:r>
          </w:p>
        </w:tc>
      </w:tr>
      <w:tr w:rsidR="00D5162D" w:rsidTr="00D5162D">
        <w:tc>
          <w:tcPr>
            <w:tcW w:w="2178" w:type="dxa"/>
          </w:tcPr>
          <w:p w:rsidR="00D5162D" w:rsidRDefault="00CD027F">
            <w:r>
              <w:t>Per annum (p.a.)</w:t>
            </w:r>
            <w:r>
              <w:rPr>
                <w:rStyle w:val="FootnoteReference"/>
              </w:rPr>
              <w:footnoteReference w:id="10"/>
            </w:r>
          </w:p>
        </w:tc>
        <w:tc>
          <w:tcPr>
            <w:tcW w:w="3690" w:type="dxa"/>
          </w:tcPr>
          <w:p w:rsidR="00D5162D" w:rsidRDefault="00CD027F" w:rsidP="00D5162D">
            <w:r>
              <w:t>“every year”, each year</w:t>
            </w:r>
          </w:p>
        </w:tc>
        <w:tc>
          <w:tcPr>
            <w:tcW w:w="3708" w:type="dxa"/>
          </w:tcPr>
          <w:p w:rsidR="00D5162D" w:rsidRDefault="00CD027F">
            <w:r>
              <w:t>See footnote</w:t>
            </w:r>
          </w:p>
        </w:tc>
      </w:tr>
      <w:tr w:rsidR="00D5162D" w:rsidTr="00D5162D">
        <w:tc>
          <w:tcPr>
            <w:tcW w:w="2178" w:type="dxa"/>
          </w:tcPr>
          <w:p w:rsidR="00D5162D" w:rsidRDefault="00CD027F">
            <w:r>
              <w:t>Per capita</w:t>
            </w:r>
          </w:p>
        </w:tc>
        <w:tc>
          <w:tcPr>
            <w:tcW w:w="3690" w:type="dxa"/>
          </w:tcPr>
          <w:p w:rsidR="00D5162D" w:rsidRDefault="00CD027F" w:rsidP="00D5162D">
            <w:r>
              <w:t>“every head”, per person</w:t>
            </w:r>
          </w:p>
        </w:tc>
        <w:tc>
          <w:tcPr>
            <w:tcW w:w="3708" w:type="dxa"/>
          </w:tcPr>
          <w:p w:rsidR="00D5162D" w:rsidRDefault="00CD027F">
            <w:r>
              <w:t>The equivalent per capita expenditure for the company was $8 a week.</w:t>
            </w:r>
          </w:p>
        </w:tc>
      </w:tr>
      <w:tr w:rsidR="00D5162D" w:rsidTr="00D5162D">
        <w:tc>
          <w:tcPr>
            <w:tcW w:w="2178" w:type="dxa"/>
          </w:tcPr>
          <w:p w:rsidR="00D5162D" w:rsidRDefault="00CD027F">
            <w:r>
              <w:t>Per diem</w:t>
            </w:r>
          </w:p>
        </w:tc>
        <w:tc>
          <w:tcPr>
            <w:tcW w:w="3690" w:type="dxa"/>
          </w:tcPr>
          <w:p w:rsidR="00D5162D" w:rsidRDefault="00CD027F" w:rsidP="00D5162D">
            <w:r>
              <w:t>“every day”,  each day</w:t>
            </w:r>
          </w:p>
        </w:tc>
        <w:tc>
          <w:tcPr>
            <w:tcW w:w="3708" w:type="dxa"/>
          </w:tcPr>
          <w:p w:rsidR="00D5162D" w:rsidRDefault="00CD027F">
            <w:r>
              <w:t xml:space="preserve">The consultant was being paid a per diem rate of $13,000.  </w:t>
            </w:r>
          </w:p>
        </w:tc>
      </w:tr>
      <w:tr w:rsidR="00CD027F" w:rsidTr="00D5162D">
        <w:tc>
          <w:tcPr>
            <w:tcW w:w="2178" w:type="dxa"/>
          </w:tcPr>
          <w:p w:rsidR="00CD027F" w:rsidRDefault="00AE24BB">
            <w:r>
              <w:t>Per se</w:t>
            </w:r>
          </w:p>
        </w:tc>
        <w:tc>
          <w:tcPr>
            <w:tcW w:w="3690" w:type="dxa"/>
          </w:tcPr>
          <w:p w:rsidR="00CD027F" w:rsidRDefault="00AE24BB" w:rsidP="00D5162D">
            <w:r>
              <w:t>“</w:t>
            </w:r>
            <w:proofErr w:type="gramStart"/>
            <w:r>
              <w:t>in</w:t>
            </w:r>
            <w:proofErr w:type="gramEnd"/>
            <w:r>
              <w:t xml:space="preserve"> itself”, not necessarily this, but…</w:t>
            </w:r>
          </w:p>
        </w:tc>
        <w:tc>
          <w:tcPr>
            <w:tcW w:w="3708" w:type="dxa"/>
          </w:tcPr>
          <w:p w:rsidR="00CD027F" w:rsidRDefault="00860D75">
            <w:r>
              <w:t>I don’t have to get a perfect on my Latin exam per se, but getting a good score would be good for my overall grade.</w:t>
            </w:r>
          </w:p>
        </w:tc>
      </w:tr>
      <w:tr w:rsidR="00CD027F" w:rsidTr="00D5162D">
        <w:tc>
          <w:tcPr>
            <w:tcW w:w="2178" w:type="dxa"/>
          </w:tcPr>
          <w:p w:rsidR="00CD027F" w:rsidRDefault="00AE24BB">
            <w:r>
              <w:t>Pro rata</w:t>
            </w:r>
          </w:p>
        </w:tc>
        <w:tc>
          <w:tcPr>
            <w:tcW w:w="3690" w:type="dxa"/>
          </w:tcPr>
          <w:p w:rsidR="00CD027F" w:rsidRDefault="00AE24BB" w:rsidP="00D5162D">
            <w:r>
              <w:t>“in proportion”</w:t>
            </w:r>
          </w:p>
        </w:tc>
        <w:tc>
          <w:tcPr>
            <w:tcW w:w="3708" w:type="dxa"/>
          </w:tcPr>
          <w:p w:rsidR="00CD027F" w:rsidRDefault="00860D75">
            <w:r>
              <w:t xml:space="preserve">Under tort law, liability is almost always split pro rata.  </w:t>
            </w:r>
          </w:p>
        </w:tc>
      </w:tr>
      <w:tr w:rsidR="00CD027F" w:rsidTr="00D5162D">
        <w:tc>
          <w:tcPr>
            <w:tcW w:w="2178" w:type="dxa"/>
          </w:tcPr>
          <w:p w:rsidR="00CD027F" w:rsidRDefault="00860D75">
            <w:r>
              <w:t xml:space="preserve">Quod </w:t>
            </w:r>
            <w:proofErr w:type="spellStart"/>
            <w:r>
              <w:t>erat</w:t>
            </w:r>
            <w:proofErr w:type="spellEnd"/>
            <w:r>
              <w:t xml:space="preserve"> demonstrandum</w:t>
            </w:r>
            <w:r>
              <w:rPr>
                <w:rStyle w:val="FootnoteReference"/>
              </w:rPr>
              <w:footnoteReference w:id="11"/>
            </w:r>
          </w:p>
        </w:tc>
        <w:tc>
          <w:tcPr>
            <w:tcW w:w="3690" w:type="dxa"/>
          </w:tcPr>
          <w:p w:rsidR="00CD027F" w:rsidRDefault="0075715A" w:rsidP="0075715A">
            <w:r>
              <w:t xml:space="preserve">“which was the thing that was </w:t>
            </w:r>
            <w:r w:rsidR="00860D75">
              <w:t xml:space="preserve"> demonstrated”, I’ve proved my point</w:t>
            </w:r>
          </w:p>
        </w:tc>
        <w:tc>
          <w:tcPr>
            <w:tcW w:w="3708" w:type="dxa"/>
          </w:tcPr>
          <w:p w:rsidR="00CD027F" w:rsidRDefault="00860D75">
            <w:r>
              <w:t>… Therefore, I am right and you are always wrong.  QED.</w:t>
            </w:r>
          </w:p>
        </w:tc>
      </w:tr>
      <w:tr w:rsidR="00CD027F" w:rsidTr="00D5162D">
        <w:tc>
          <w:tcPr>
            <w:tcW w:w="2178" w:type="dxa"/>
          </w:tcPr>
          <w:p w:rsidR="00CD027F" w:rsidRDefault="00860D75">
            <w:r>
              <w:lastRenderedPageBreak/>
              <w:t>Quid pro quo</w:t>
            </w:r>
            <w:r w:rsidR="00EF28F7">
              <w:rPr>
                <w:rStyle w:val="FootnoteReference"/>
              </w:rPr>
              <w:footnoteReference w:id="12"/>
            </w:r>
          </w:p>
        </w:tc>
        <w:tc>
          <w:tcPr>
            <w:tcW w:w="3690" w:type="dxa"/>
          </w:tcPr>
          <w:p w:rsidR="00CD027F" w:rsidRDefault="00860D75" w:rsidP="00D5162D">
            <w:r>
              <w:t>“something for something”</w:t>
            </w:r>
          </w:p>
        </w:tc>
        <w:tc>
          <w:tcPr>
            <w:tcW w:w="3708" w:type="dxa"/>
          </w:tcPr>
          <w:p w:rsidR="00CD027F" w:rsidRDefault="00860D75">
            <w:r>
              <w:t xml:space="preserve">In law, if a contract is excessively one sided, the court may have to decide whether a quid pro quo actually existed at all, and if not, the contract may become void.  </w:t>
            </w:r>
          </w:p>
        </w:tc>
      </w:tr>
      <w:tr w:rsidR="00CD027F" w:rsidTr="00D5162D">
        <w:tc>
          <w:tcPr>
            <w:tcW w:w="2178" w:type="dxa"/>
          </w:tcPr>
          <w:p w:rsidR="00CD027F" w:rsidRDefault="00860D75">
            <w:r>
              <w:t>Requiescat in pace (RIP)</w:t>
            </w:r>
            <w:r>
              <w:rPr>
                <w:rStyle w:val="FootnoteReference"/>
              </w:rPr>
              <w:footnoteReference w:id="13"/>
            </w:r>
          </w:p>
        </w:tc>
        <w:tc>
          <w:tcPr>
            <w:tcW w:w="3690" w:type="dxa"/>
          </w:tcPr>
          <w:p w:rsidR="00CD027F" w:rsidRDefault="00860D75" w:rsidP="00D5162D">
            <w:r>
              <w:t>“may he or she rest in peace”</w:t>
            </w:r>
          </w:p>
        </w:tc>
        <w:tc>
          <w:tcPr>
            <w:tcW w:w="3708" w:type="dxa"/>
          </w:tcPr>
          <w:p w:rsidR="00CD027F" w:rsidRDefault="00860D75">
            <w:r>
              <w:t>It is very common for cartoon and Halloween gravestones to have the inscription RIP, which incidentally does NOT stand for “rest in peace”.</w:t>
            </w:r>
          </w:p>
        </w:tc>
      </w:tr>
      <w:tr w:rsidR="00CD027F" w:rsidTr="00D5162D">
        <w:tc>
          <w:tcPr>
            <w:tcW w:w="2178" w:type="dxa"/>
          </w:tcPr>
          <w:p w:rsidR="00CD027F" w:rsidRDefault="00701E13">
            <w:r>
              <w:t>Vice versa</w:t>
            </w:r>
          </w:p>
        </w:tc>
        <w:tc>
          <w:tcPr>
            <w:tcW w:w="3690" w:type="dxa"/>
          </w:tcPr>
          <w:p w:rsidR="00CD027F" w:rsidRDefault="00701E13" w:rsidP="00D5162D">
            <w:r>
              <w:t>“the other way around”</w:t>
            </w:r>
          </w:p>
        </w:tc>
        <w:tc>
          <w:tcPr>
            <w:tcW w:w="3708" w:type="dxa"/>
          </w:tcPr>
          <w:p w:rsidR="00CD027F" w:rsidRDefault="00701E13">
            <w:r>
              <w:t>I could poke my brother in the face and drag him out of bed, or vice versa.</w:t>
            </w:r>
          </w:p>
        </w:tc>
      </w:tr>
      <w:tr w:rsidR="00CD027F" w:rsidTr="00D5162D">
        <w:tc>
          <w:tcPr>
            <w:tcW w:w="2178" w:type="dxa"/>
          </w:tcPr>
          <w:p w:rsidR="00CD027F" w:rsidRDefault="00701E13">
            <w:r>
              <w:t>Status quo</w:t>
            </w:r>
            <w:r>
              <w:rPr>
                <w:rStyle w:val="FootnoteReference"/>
              </w:rPr>
              <w:footnoteReference w:id="14"/>
            </w:r>
          </w:p>
        </w:tc>
        <w:tc>
          <w:tcPr>
            <w:tcW w:w="3690" w:type="dxa"/>
          </w:tcPr>
          <w:p w:rsidR="00CD027F" w:rsidRDefault="00701E13" w:rsidP="00D5162D">
            <w:r>
              <w:t>“the existing state of affairs”</w:t>
            </w:r>
          </w:p>
        </w:tc>
        <w:tc>
          <w:tcPr>
            <w:tcW w:w="3708" w:type="dxa"/>
          </w:tcPr>
          <w:p w:rsidR="00CD027F" w:rsidRDefault="00701E13">
            <w:r>
              <w:t>If my brother is not available for face-poking or dragging, I will put up with the status quo.</w:t>
            </w:r>
          </w:p>
        </w:tc>
      </w:tr>
      <w:tr w:rsidR="00CD027F" w:rsidTr="00D5162D">
        <w:tc>
          <w:tcPr>
            <w:tcW w:w="2178" w:type="dxa"/>
          </w:tcPr>
          <w:p w:rsidR="00CD027F" w:rsidRDefault="00701E13">
            <w:proofErr w:type="spellStart"/>
            <w:r>
              <w:t>Alea</w:t>
            </w:r>
            <w:proofErr w:type="spellEnd"/>
            <w:r>
              <w:t xml:space="preserve"> </w:t>
            </w:r>
            <w:proofErr w:type="spellStart"/>
            <w:r>
              <w:t>iacta</w:t>
            </w:r>
            <w:proofErr w:type="spellEnd"/>
            <w:r>
              <w:t xml:space="preserve"> </w:t>
            </w:r>
            <w:proofErr w:type="spellStart"/>
            <w:r>
              <w:t>est</w:t>
            </w:r>
            <w:proofErr w:type="spellEnd"/>
          </w:p>
        </w:tc>
        <w:tc>
          <w:tcPr>
            <w:tcW w:w="3690" w:type="dxa"/>
          </w:tcPr>
          <w:p w:rsidR="00CD027F" w:rsidRDefault="00701E13" w:rsidP="00D5162D">
            <w:r>
              <w:t>“the die is cast”, there’s no going back now</w:t>
            </w:r>
          </w:p>
        </w:tc>
        <w:tc>
          <w:tcPr>
            <w:tcW w:w="3708" w:type="dxa"/>
          </w:tcPr>
          <w:p w:rsidR="00CD027F" w:rsidRPr="00701E13" w:rsidRDefault="00701E13">
            <w:r>
              <w:t xml:space="preserve">When asked about the accidental release of toxins into the atmosphere, the plant director merely said </w:t>
            </w:r>
            <w:proofErr w:type="spellStart"/>
            <w:r>
              <w:rPr>
                <w:i/>
              </w:rPr>
              <w:t>alea</w:t>
            </w:r>
            <w:proofErr w:type="spellEnd"/>
            <w:r>
              <w:rPr>
                <w:i/>
              </w:rPr>
              <w:t xml:space="preserve"> </w:t>
            </w:r>
            <w:proofErr w:type="spellStart"/>
            <w:r>
              <w:rPr>
                <w:i/>
              </w:rPr>
              <w:t>iacta</w:t>
            </w:r>
            <w:proofErr w:type="spellEnd"/>
            <w:r>
              <w:rPr>
                <w:i/>
              </w:rPr>
              <w:t xml:space="preserve"> est</w:t>
            </w:r>
            <w:r>
              <w:t>.</w:t>
            </w:r>
          </w:p>
        </w:tc>
      </w:tr>
      <w:tr w:rsidR="00CD027F" w:rsidTr="00D5162D">
        <w:tc>
          <w:tcPr>
            <w:tcW w:w="2178" w:type="dxa"/>
          </w:tcPr>
          <w:p w:rsidR="00CD027F" w:rsidRDefault="00701E13">
            <w:r>
              <w:t>Carpe diem</w:t>
            </w:r>
            <w:r>
              <w:rPr>
                <w:rStyle w:val="FootnoteReference"/>
              </w:rPr>
              <w:footnoteReference w:id="15"/>
            </w:r>
            <w:r w:rsidR="00A00E2B" w:rsidRPr="00A00E2B">
              <w:rPr>
                <w:vertAlign w:val="superscript"/>
              </w:rPr>
              <w:t>,</w:t>
            </w:r>
            <w:r w:rsidR="00A00E2B">
              <w:rPr>
                <w:rStyle w:val="FootnoteReference"/>
              </w:rPr>
              <w:footnoteReference w:id="16"/>
            </w:r>
          </w:p>
        </w:tc>
        <w:tc>
          <w:tcPr>
            <w:tcW w:w="3690" w:type="dxa"/>
          </w:tcPr>
          <w:p w:rsidR="00CD027F" w:rsidRDefault="00701E13" w:rsidP="00D5162D">
            <w:r>
              <w:t>“</w:t>
            </w:r>
            <w:proofErr w:type="gramStart"/>
            <w:r>
              <w:t>seize</w:t>
            </w:r>
            <w:proofErr w:type="gramEnd"/>
            <w:r>
              <w:t xml:space="preserve"> the day”, make the most of the opportunity, because you may be dead tomorrow.</w:t>
            </w:r>
          </w:p>
        </w:tc>
        <w:tc>
          <w:tcPr>
            <w:tcW w:w="3708" w:type="dxa"/>
          </w:tcPr>
          <w:p w:rsidR="00CD027F" w:rsidRPr="00A00E2B" w:rsidRDefault="00A00E2B">
            <w:r>
              <w:t xml:space="preserve">When I was so nervous about my Latin Oratory for convention and thought about not doing it after all, I told myself </w:t>
            </w:r>
            <w:r w:rsidR="00DD21F3">
              <w:rPr>
                <w:i/>
              </w:rPr>
              <w:t>c</w:t>
            </w:r>
            <w:r>
              <w:rPr>
                <w:i/>
              </w:rPr>
              <w:t>arpe diem</w:t>
            </w:r>
            <w:r w:rsidR="00DD21F3">
              <w:t xml:space="preserve"> and did it anyway.</w:t>
            </w:r>
          </w:p>
        </w:tc>
      </w:tr>
      <w:tr w:rsidR="00A00E2B" w:rsidTr="00D5162D">
        <w:tc>
          <w:tcPr>
            <w:tcW w:w="2178" w:type="dxa"/>
          </w:tcPr>
          <w:p w:rsidR="00A00E2B" w:rsidRDefault="00A00E2B">
            <w:r>
              <w:t>Caveat emptor</w:t>
            </w:r>
          </w:p>
        </w:tc>
        <w:tc>
          <w:tcPr>
            <w:tcW w:w="3690" w:type="dxa"/>
          </w:tcPr>
          <w:p w:rsidR="00A00E2B" w:rsidRDefault="00A00E2B" w:rsidP="00D5162D">
            <w:r>
              <w:t>“let the buyer beware”</w:t>
            </w:r>
          </w:p>
        </w:tc>
        <w:tc>
          <w:tcPr>
            <w:tcW w:w="3708" w:type="dxa"/>
          </w:tcPr>
          <w:p w:rsidR="00A00E2B" w:rsidRPr="00A00E2B" w:rsidRDefault="00A00E2B">
            <w:r>
              <w:t xml:space="preserve">I once sold a broken computer for a thousand bucks to some idiot who didn’t take Latin and didn’t read this simply amazing study guide and didn’t know about </w:t>
            </w:r>
            <w:r>
              <w:rPr>
                <w:i/>
              </w:rPr>
              <w:t>caveat emptor</w:t>
            </w:r>
            <w:r>
              <w:t>.</w:t>
            </w:r>
            <w:r>
              <w:rPr>
                <w:rStyle w:val="FootnoteReference"/>
              </w:rPr>
              <w:footnoteReference w:id="17"/>
            </w:r>
          </w:p>
        </w:tc>
      </w:tr>
      <w:tr w:rsidR="00EF28F7" w:rsidTr="00D5162D">
        <w:tc>
          <w:tcPr>
            <w:tcW w:w="2178" w:type="dxa"/>
          </w:tcPr>
          <w:p w:rsidR="00EF28F7" w:rsidRDefault="00EF28F7">
            <w:r>
              <w:t xml:space="preserve">Caveat </w:t>
            </w:r>
            <w:proofErr w:type="spellStart"/>
            <w:r>
              <w:t>venditor</w:t>
            </w:r>
            <w:proofErr w:type="spellEnd"/>
            <w:r>
              <w:rPr>
                <w:rStyle w:val="FootnoteReference"/>
              </w:rPr>
              <w:footnoteReference w:id="18"/>
            </w:r>
          </w:p>
        </w:tc>
        <w:tc>
          <w:tcPr>
            <w:tcW w:w="3690" w:type="dxa"/>
          </w:tcPr>
          <w:p w:rsidR="00EF28F7" w:rsidRDefault="00EF28F7" w:rsidP="00D5162D">
            <w:r>
              <w:t>“let the seller beware”</w:t>
            </w:r>
          </w:p>
        </w:tc>
        <w:tc>
          <w:tcPr>
            <w:tcW w:w="3708" w:type="dxa"/>
          </w:tcPr>
          <w:p w:rsidR="00EF28F7" w:rsidRPr="00EF28F7" w:rsidRDefault="00EF28F7" w:rsidP="00EF28F7">
            <w:r>
              <w:t xml:space="preserve">Because of </w:t>
            </w:r>
            <w:r>
              <w:rPr>
                <w:i/>
              </w:rPr>
              <w:t xml:space="preserve">caveat </w:t>
            </w:r>
            <w:proofErr w:type="spellStart"/>
            <w:r>
              <w:rPr>
                <w:i/>
              </w:rPr>
              <w:t>venditor</w:t>
            </w:r>
            <w:proofErr w:type="spellEnd"/>
            <w:r>
              <w:t>, US tort law dictates that sellers must take responsibility for their products to discourage these sellers from selling products of ridiculously low quality.</w:t>
            </w:r>
          </w:p>
        </w:tc>
      </w:tr>
      <w:tr w:rsidR="00A00E2B" w:rsidTr="00D5162D">
        <w:tc>
          <w:tcPr>
            <w:tcW w:w="2178" w:type="dxa"/>
          </w:tcPr>
          <w:p w:rsidR="00A00E2B" w:rsidRDefault="00A00E2B">
            <w:r>
              <w:lastRenderedPageBreak/>
              <w:t xml:space="preserve">De </w:t>
            </w:r>
            <w:proofErr w:type="spellStart"/>
            <w:r>
              <w:t>mortius</w:t>
            </w:r>
            <w:proofErr w:type="spellEnd"/>
            <w:r>
              <w:t xml:space="preserve"> nil nisi </w:t>
            </w:r>
            <w:proofErr w:type="spellStart"/>
            <w:r>
              <w:t>bonum</w:t>
            </w:r>
            <w:proofErr w:type="spellEnd"/>
          </w:p>
        </w:tc>
        <w:tc>
          <w:tcPr>
            <w:tcW w:w="3690" w:type="dxa"/>
          </w:tcPr>
          <w:p w:rsidR="00A00E2B" w:rsidRDefault="00A00E2B" w:rsidP="00D5162D">
            <w:r>
              <w:t>“</w:t>
            </w:r>
            <w:proofErr w:type="gramStart"/>
            <w:r>
              <w:t>of</w:t>
            </w:r>
            <w:proofErr w:type="gramEnd"/>
            <w:r>
              <w:t xml:space="preserve"> the dead, nothing unless it is good”, don’t speak ill of dead people.</w:t>
            </w:r>
          </w:p>
        </w:tc>
        <w:tc>
          <w:tcPr>
            <w:tcW w:w="3708" w:type="dxa"/>
          </w:tcPr>
          <w:p w:rsidR="00A00E2B" w:rsidRPr="00A00E2B" w:rsidRDefault="00A00E2B">
            <w:r>
              <w:t xml:space="preserve">There are so many people who were considered good people when they were alive, but were revealed to be corrupt and insane; it seems like this generation doesn’t follow </w:t>
            </w:r>
            <w:r>
              <w:rPr>
                <w:i/>
              </w:rPr>
              <w:t xml:space="preserve">de </w:t>
            </w:r>
            <w:proofErr w:type="spellStart"/>
            <w:r>
              <w:rPr>
                <w:i/>
              </w:rPr>
              <w:t>mortius</w:t>
            </w:r>
            <w:proofErr w:type="spellEnd"/>
            <w:r>
              <w:rPr>
                <w:i/>
              </w:rPr>
              <w:t xml:space="preserve"> nil nisi </w:t>
            </w:r>
            <w:proofErr w:type="spellStart"/>
            <w:r>
              <w:rPr>
                <w:i/>
              </w:rPr>
              <w:t>bonum</w:t>
            </w:r>
            <w:proofErr w:type="spellEnd"/>
            <w:r>
              <w:t xml:space="preserve"> like most of us old people did.</w:t>
            </w:r>
          </w:p>
        </w:tc>
      </w:tr>
      <w:tr w:rsidR="00A00E2B" w:rsidTr="00D5162D">
        <w:tc>
          <w:tcPr>
            <w:tcW w:w="2178" w:type="dxa"/>
          </w:tcPr>
          <w:p w:rsidR="00A00E2B" w:rsidRDefault="00A00E2B">
            <w:r>
              <w:t>In camera</w:t>
            </w:r>
            <w:r>
              <w:rPr>
                <w:rStyle w:val="FootnoteReference"/>
              </w:rPr>
              <w:footnoteReference w:id="19"/>
            </w:r>
          </w:p>
        </w:tc>
        <w:tc>
          <w:tcPr>
            <w:tcW w:w="3690" w:type="dxa"/>
          </w:tcPr>
          <w:p w:rsidR="00A00E2B" w:rsidRDefault="00A00E2B" w:rsidP="00D5162D">
            <w:r>
              <w:t>“in the room”, behind closed doors</w:t>
            </w:r>
          </w:p>
        </w:tc>
        <w:tc>
          <w:tcPr>
            <w:tcW w:w="3708" w:type="dxa"/>
          </w:tcPr>
          <w:p w:rsidR="00A00E2B" w:rsidRPr="00A00E2B" w:rsidRDefault="00A00E2B">
            <w:r>
              <w:t>Many civil c</w:t>
            </w:r>
            <w:bookmarkStart w:id="0" w:name="_GoBack"/>
            <w:bookmarkEnd w:id="0"/>
            <w:r>
              <w:t xml:space="preserve">ases are </w:t>
            </w:r>
            <w:r>
              <w:rPr>
                <w:i/>
              </w:rPr>
              <w:t>in camera</w:t>
            </w:r>
            <w:r>
              <w:t xml:space="preserve"> because of their sensitive nature.  </w:t>
            </w:r>
          </w:p>
        </w:tc>
      </w:tr>
      <w:tr w:rsidR="00A00E2B" w:rsidTr="00D5162D">
        <w:tc>
          <w:tcPr>
            <w:tcW w:w="2178" w:type="dxa"/>
          </w:tcPr>
          <w:p w:rsidR="00A00E2B" w:rsidRDefault="00A00E2B">
            <w:r>
              <w:t xml:space="preserve">In vino </w:t>
            </w:r>
            <w:proofErr w:type="spellStart"/>
            <w:r>
              <w:t>veritas</w:t>
            </w:r>
            <w:proofErr w:type="spellEnd"/>
          </w:p>
        </w:tc>
        <w:tc>
          <w:tcPr>
            <w:tcW w:w="3690" w:type="dxa"/>
          </w:tcPr>
          <w:p w:rsidR="00A00E2B" w:rsidRDefault="00A00E2B" w:rsidP="00D5162D">
            <w:r>
              <w:t>“in wine, truth”, when you are drunk you tell the truth</w:t>
            </w:r>
          </w:p>
        </w:tc>
        <w:tc>
          <w:tcPr>
            <w:tcW w:w="3708" w:type="dxa"/>
          </w:tcPr>
          <w:p w:rsidR="00A00E2B" w:rsidRPr="00A00E2B" w:rsidRDefault="00A00E2B">
            <w:r>
              <w:t xml:space="preserve">If you want to interrogate someone, invite them over for a drink because </w:t>
            </w:r>
            <w:r>
              <w:rPr>
                <w:i/>
              </w:rPr>
              <w:t xml:space="preserve">in vino, </w:t>
            </w:r>
            <w:proofErr w:type="spellStart"/>
            <w:r>
              <w:rPr>
                <w:i/>
              </w:rPr>
              <w:t>veritas</w:t>
            </w:r>
            <w:proofErr w:type="spellEnd"/>
            <w:r>
              <w:t>.</w:t>
            </w:r>
          </w:p>
        </w:tc>
      </w:tr>
      <w:tr w:rsidR="00A00E2B" w:rsidTr="00D5162D">
        <w:tc>
          <w:tcPr>
            <w:tcW w:w="2178" w:type="dxa"/>
          </w:tcPr>
          <w:p w:rsidR="00A00E2B" w:rsidRDefault="00A00E2B">
            <w:r>
              <w:t xml:space="preserve">Res </w:t>
            </w:r>
            <w:proofErr w:type="spellStart"/>
            <w:r>
              <w:t>ipsa</w:t>
            </w:r>
            <w:proofErr w:type="spellEnd"/>
            <w:r>
              <w:t xml:space="preserve"> loquitur</w:t>
            </w:r>
          </w:p>
        </w:tc>
        <w:tc>
          <w:tcPr>
            <w:tcW w:w="3690" w:type="dxa"/>
          </w:tcPr>
          <w:p w:rsidR="00A00E2B" w:rsidRDefault="00A00E2B" w:rsidP="00D5162D">
            <w:r>
              <w:t>“it speaks for itself”, it’s obvious</w:t>
            </w:r>
          </w:p>
        </w:tc>
        <w:tc>
          <w:tcPr>
            <w:tcW w:w="3708" w:type="dxa"/>
          </w:tcPr>
          <w:p w:rsidR="00A00E2B" w:rsidRDefault="00EF28F7">
            <w:r>
              <w:t xml:space="preserve">When the </w:t>
            </w:r>
            <w:proofErr w:type="spellStart"/>
            <w:r>
              <w:t>politican</w:t>
            </w:r>
            <w:proofErr w:type="spellEnd"/>
            <w:r>
              <w:t xml:space="preserve"> Boris Johnson was asked about why he learned Latin, he replied, “Res </w:t>
            </w:r>
            <w:proofErr w:type="spellStart"/>
            <w:r>
              <w:t>ipsa</w:t>
            </w:r>
            <w:proofErr w:type="spellEnd"/>
            <w:r>
              <w:t xml:space="preserve"> loquitur.”</w:t>
            </w:r>
            <w:r w:rsidR="00660692">
              <w:rPr>
                <w:rStyle w:val="FootnoteReference"/>
              </w:rPr>
              <w:footnoteReference w:id="20"/>
            </w:r>
          </w:p>
        </w:tc>
      </w:tr>
      <w:tr w:rsidR="00A00E2B" w:rsidTr="00D5162D">
        <w:tc>
          <w:tcPr>
            <w:tcW w:w="2178" w:type="dxa"/>
          </w:tcPr>
          <w:p w:rsidR="00A00E2B" w:rsidRDefault="00EF28F7">
            <w:r>
              <w:t xml:space="preserve">Sub </w:t>
            </w:r>
            <w:proofErr w:type="spellStart"/>
            <w:r>
              <w:t>rosa</w:t>
            </w:r>
            <w:proofErr w:type="spellEnd"/>
            <w:r>
              <w:rPr>
                <w:rStyle w:val="FootnoteReference"/>
              </w:rPr>
              <w:footnoteReference w:id="21"/>
            </w:r>
          </w:p>
        </w:tc>
        <w:tc>
          <w:tcPr>
            <w:tcW w:w="3690" w:type="dxa"/>
          </w:tcPr>
          <w:p w:rsidR="00A00E2B" w:rsidRDefault="00EF28F7" w:rsidP="00D5162D">
            <w:r>
              <w:t>“under the rose”, in secret</w:t>
            </w:r>
          </w:p>
        </w:tc>
        <w:tc>
          <w:tcPr>
            <w:tcW w:w="3708" w:type="dxa"/>
          </w:tcPr>
          <w:p w:rsidR="00A00E2B" w:rsidRPr="00EF28F7" w:rsidRDefault="00EF28F7">
            <w:r>
              <w:t xml:space="preserve">This study guide is </w:t>
            </w:r>
            <w:r>
              <w:rPr>
                <w:i/>
              </w:rPr>
              <w:t xml:space="preserve">sub </w:t>
            </w:r>
            <w:proofErr w:type="spellStart"/>
            <w:r>
              <w:rPr>
                <w:i/>
              </w:rPr>
              <w:t>rosa</w:t>
            </w:r>
            <w:proofErr w:type="spellEnd"/>
            <w:r>
              <w:t>; you can’t tell anyone about this, okay?</w:t>
            </w:r>
          </w:p>
        </w:tc>
      </w:tr>
    </w:tbl>
    <w:p w:rsidR="0021293A" w:rsidRDefault="0021293A"/>
    <w:sectPr w:rsidR="002129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B9A" w:rsidRDefault="000F2B9A" w:rsidP="00442B03">
      <w:pPr>
        <w:spacing w:after="0" w:line="240" w:lineRule="auto"/>
      </w:pPr>
      <w:r>
        <w:separator/>
      </w:r>
    </w:p>
  </w:endnote>
  <w:endnote w:type="continuationSeparator" w:id="0">
    <w:p w:rsidR="000F2B9A" w:rsidRDefault="000F2B9A" w:rsidP="00442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B9A" w:rsidRDefault="000F2B9A" w:rsidP="00442B03">
      <w:pPr>
        <w:spacing w:after="0" w:line="240" w:lineRule="auto"/>
      </w:pPr>
      <w:r>
        <w:separator/>
      </w:r>
    </w:p>
  </w:footnote>
  <w:footnote w:type="continuationSeparator" w:id="0">
    <w:p w:rsidR="000F2B9A" w:rsidRDefault="000F2B9A" w:rsidP="00442B03">
      <w:pPr>
        <w:spacing w:after="0" w:line="240" w:lineRule="auto"/>
      </w:pPr>
      <w:r>
        <w:continuationSeparator/>
      </w:r>
    </w:p>
  </w:footnote>
  <w:footnote w:id="1">
    <w:p w:rsidR="00442B03" w:rsidRDefault="00442B03">
      <w:pPr>
        <w:pStyle w:val="FootnoteText"/>
      </w:pPr>
      <w:r>
        <w:rPr>
          <w:rStyle w:val="FootnoteReference"/>
        </w:rPr>
        <w:footnoteRef/>
      </w:r>
      <w:r>
        <w:t xml:space="preserve"> Not to be confused with et cetera (etc.)</w:t>
      </w:r>
    </w:p>
  </w:footnote>
  <w:footnote w:id="2">
    <w:p w:rsidR="00AD5025" w:rsidRDefault="00AD5025">
      <w:pPr>
        <w:pStyle w:val="FootnoteText"/>
      </w:pPr>
      <w:r>
        <w:rPr>
          <w:rStyle w:val="FootnoteReference"/>
        </w:rPr>
        <w:footnoteRef/>
      </w:r>
      <w:r>
        <w:t xml:space="preserve"> For those of you who don’t know, a censor was a Roman official who maintained certain aspects of the government’s finances, the census, and public morality.</w:t>
      </w:r>
    </w:p>
  </w:footnote>
  <w:footnote w:id="3">
    <w:p w:rsidR="00AD5025" w:rsidRPr="00AD5025" w:rsidRDefault="00AD5025">
      <w:pPr>
        <w:pStyle w:val="FootnoteText"/>
      </w:pPr>
      <w:r>
        <w:rPr>
          <w:rStyle w:val="FootnoteReference"/>
        </w:rPr>
        <w:footnoteRef/>
      </w:r>
      <w:r>
        <w:t xml:space="preserve"> This is taken from the Roman orator and statesman Marcus </w:t>
      </w:r>
      <w:proofErr w:type="spellStart"/>
      <w:r>
        <w:t>Tullius</w:t>
      </w:r>
      <w:proofErr w:type="spellEnd"/>
      <w:r>
        <w:t xml:space="preserve"> Cicero, from his speech </w:t>
      </w:r>
      <w:r>
        <w:rPr>
          <w:i/>
        </w:rPr>
        <w:t xml:space="preserve">Pro </w:t>
      </w:r>
      <w:proofErr w:type="spellStart"/>
      <w:r>
        <w:rPr>
          <w:i/>
        </w:rPr>
        <w:t>Roscio</w:t>
      </w:r>
      <w:proofErr w:type="spellEnd"/>
      <w:r>
        <w:rPr>
          <w:i/>
        </w:rPr>
        <w:t xml:space="preserve"> </w:t>
      </w:r>
      <w:proofErr w:type="spellStart"/>
      <w:r>
        <w:rPr>
          <w:i/>
        </w:rPr>
        <w:t>Amerino</w:t>
      </w:r>
      <w:proofErr w:type="spellEnd"/>
      <w:r>
        <w:t xml:space="preserve">, section 84.  The actual quote is </w:t>
      </w:r>
      <w:r>
        <w:rPr>
          <w:i/>
        </w:rPr>
        <w:t xml:space="preserve">Lucius Cassius </w:t>
      </w:r>
      <w:proofErr w:type="spellStart"/>
      <w:r>
        <w:rPr>
          <w:i/>
        </w:rPr>
        <w:t>ille</w:t>
      </w:r>
      <w:proofErr w:type="spellEnd"/>
      <w:r>
        <w:rPr>
          <w:i/>
        </w:rPr>
        <w:t xml:space="preserve"> </w:t>
      </w:r>
      <w:proofErr w:type="spellStart"/>
      <w:r>
        <w:rPr>
          <w:i/>
        </w:rPr>
        <w:t>quem</w:t>
      </w:r>
      <w:proofErr w:type="spellEnd"/>
      <w:r>
        <w:rPr>
          <w:i/>
        </w:rPr>
        <w:t xml:space="preserve"> populous </w:t>
      </w:r>
      <w:proofErr w:type="spellStart"/>
      <w:r>
        <w:rPr>
          <w:i/>
        </w:rPr>
        <w:t>Romanus</w:t>
      </w:r>
      <w:proofErr w:type="spellEnd"/>
      <w:r>
        <w:rPr>
          <w:i/>
        </w:rPr>
        <w:t xml:space="preserve"> </w:t>
      </w:r>
      <w:proofErr w:type="spellStart"/>
      <w:r>
        <w:rPr>
          <w:i/>
        </w:rPr>
        <w:t>verissimum</w:t>
      </w:r>
      <w:proofErr w:type="spellEnd"/>
      <w:r>
        <w:rPr>
          <w:i/>
        </w:rPr>
        <w:t xml:space="preserve"> </w:t>
      </w:r>
      <w:proofErr w:type="gramStart"/>
      <w:r>
        <w:rPr>
          <w:i/>
        </w:rPr>
        <w:t>et</w:t>
      </w:r>
      <w:proofErr w:type="gramEnd"/>
      <w:r>
        <w:rPr>
          <w:i/>
        </w:rPr>
        <w:t xml:space="preserve"> </w:t>
      </w:r>
      <w:proofErr w:type="spellStart"/>
      <w:r>
        <w:rPr>
          <w:i/>
        </w:rPr>
        <w:t>sapientissimum</w:t>
      </w:r>
      <w:proofErr w:type="spellEnd"/>
      <w:r>
        <w:rPr>
          <w:i/>
        </w:rPr>
        <w:t xml:space="preserve"> </w:t>
      </w:r>
      <w:proofErr w:type="spellStart"/>
      <w:r>
        <w:rPr>
          <w:i/>
        </w:rPr>
        <w:t>iudicem</w:t>
      </w:r>
      <w:proofErr w:type="spellEnd"/>
      <w:r>
        <w:rPr>
          <w:i/>
        </w:rPr>
        <w:t xml:space="preserve"> </w:t>
      </w:r>
      <w:proofErr w:type="spellStart"/>
      <w:r>
        <w:rPr>
          <w:i/>
        </w:rPr>
        <w:t>putabat</w:t>
      </w:r>
      <w:proofErr w:type="spellEnd"/>
      <w:r>
        <w:rPr>
          <w:i/>
        </w:rPr>
        <w:t xml:space="preserve"> </w:t>
      </w:r>
      <w:proofErr w:type="spellStart"/>
      <w:r>
        <w:rPr>
          <w:i/>
        </w:rPr>
        <w:t>identidem</w:t>
      </w:r>
      <w:proofErr w:type="spellEnd"/>
      <w:r>
        <w:rPr>
          <w:i/>
        </w:rPr>
        <w:t xml:space="preserve"> in </w:t>
      </w:r>
      <w:proofErr w:type="spellStart"/>
      <w:r>
        <w:rPr>
          <w:i/>
        </w:rPr>
        <w:t>causis</w:t>
      </w:r>
      <w:proofErr w:type="spellEnd"/>
      <w:r>
        <w:rPr>
          <w:i/>
        </w:rPr>
        <w:t xml:space="preserve"> </w:t>
      </w:r>
      <w:proofErr w:type="spellStart"/>
      <w:r>
        <w:rPr>
          <w:i/>
        </w:rPr>
        <w:t>quaerere</w:t>
      </w:r>
      <w:proofErr w:type="spellEnd"/>
      <w:r>
        <w:rPr>
          <w:i/>
        </w:rPr>
        <w:t xml:space="preserve"> </w:t>
      </w:r>
      <w:proofErr w:type="spellStart"/>
      <w:r>
        <w:rPr>
          <w:i/>
        </w:rPr>
        <w:t>solebat</w:t>
      </w:r>
      <w:proofErr w:type="spellEnd"/>
      <w:r>
        <w:rPr>
          <w:i/>
        </w:rPr>
        <w:t xml:space="preserve"> ‘cui bono’ </w:t>
      </w:r>
      <w:proofErr w:type="spellStart"/>
      <w:r>
        <w:rPr>
          <w:i/>
        </w:rPr>
        <w:t>fuisset</w:t>
      </w:r>
      <w:proofErr w:type="spellEnd"/>
      <w:r>
        <w:rPr>
          <w:i/>
        </w:rPr>
        <w:t>.</w:t>
      </w:r>
      <w:r>
        <w:t xml:space="preserve">  Cicero also used </w:t>
      </w:r>
      <w:r>
        <w:rPr>
          <w:i/>
        </w:rPr>
        <w:t>cui bono</w:t>
      </w:r>
      <w:r>
        <w:t xml:space="preserve"> in his speech </w:t>
      </w:r>
      <w:r>
        <w:rPr>
          <w:i/>
        </w:rPr>
        <w:t xml:space="preserve">Pro </w:t>
      </w:r>
      <w:proofErr w:type="spellStart"/>
      <w:r w:rsidRPr="00AD5025">
        <w:t>Milone</w:t>
      </w:r>
      <w:proofErr w:type="spellEnd"/>
      <w:r>
        <w:t xml:space="preserve"> in 52 BC.  He made this speech in defense of his friend Titus </w:t>
      </w:r>
      <w:proofErr w:type="spellStart"/>
      <w:r>
        <w:t>Annius</w:t>
      </w:r>
      <w:proofErr w:type="spellEnd"/>
      <w:r>
        <w:t xml:space="preserve"> Milo when Milo was accused of murdering his political enemy </w:t>
      </w:r>
      <w:proofErr w:type="spellStart"/>
      <w:r>
        <w:t>Publius</w:t>
      </w:r>
      <w:proofErr w:type="spellEnd"/>
      <w:r>
        <w:t xml:space="preserve"> </w:t>
      </w:r>
      <w:proofErr w:type="spellStart"/>
      <w:r>
        <w:t>Clodius</w:t>
      </w:r>
      <w:proofErr w:type="spellEnd"/>
      <w:r>
        <w:t xml:space="preserve"> </w:t>
      </w:r>
      <w:proofErr w:type="spellStart"/>
      <w:r>
        <w:t>Pulcher</w:t>
      </w:r>
      <w:proofErr w:type="spellEnd"/>
      <w:r>
        <w:t xml:space="preserve"> on the Via </w:t>
      </w:r>
      <w:proofErr w:type="spellStart"/>
      <w:r>
        <w:t>Appia</w:t>
      </w:r>
      <w:proofErr w:type="spellEnd"/>
      <w:r>
        <w:t>.</w:t>
      </w:r>
    </w:p>
  </w:footnote>
  <w:footnote w:id="4">
    <w:p w:rsidR="00442B03" w:rsidRDefault="00442B03">
      <w:pPr>
        <w:pStyle w:val="FootnoteText"/>
      </w:pPr>
      <w:r>
        <w:rPr>
          <w:rStyle w:val="FootnoteReference"/>
        </w:rPr>
        <w:footnoteRef/>
      </w:r>
      <w:r>
        <w:t xml:space="preserve"> Do NOT confuse id </w:t>
      </w:r>
      <w:proofErr w:type="spellStart"/>
      <w:proofErr w:type="gramStart"/>
      <w:r>
        <w:t>est</w:t>
      </w:r>
      <w:proofErr w:type="spellEnd"/>
      <w:proofErr w:type="gramEnd"/>
      <w:r>
        <w:t xml:space="preserve"> (i.e.) with exempli gratia (e.g.): e.g. is used for providing examples, while i.e. is used to specify and explain.</w:t>
      </w:r>
    </w:p>
  </w:footnote>
  <w:footnote w:id="5">
    <w:p w:rsidR="00EF28F7" w:rsidRDefault="00EF28F7">
      <w:pPr>
        <w:pStyle w:val="FootnoteText"/>
      </w:pPr>
      <w:r>
        <w:rPr>
          <w:rStyle w:val="FootnoteReference"/>
        </w:rPr>
        <w:footnoteRef/>
      </w:r>
      <w:r>
        <w:t xml:space="preserve"> </w:t>
      </w:r>
      <w:proofErr w:type="gramStart"/>
      <w:r>
        <w:t>VERY rare, but possible</w:t>
      </w:r>
      <w:r w:rsidR="00A54359">
        <w:t xml:space="preserve"> usage of et cetera.</w:t>
      </w:r>
      <w:proofErr w:type="gramEnd"/>
    </w:p>
  </w:footnote>
  <w:footnote w:id="6">
    <w:p w:rsidR="00442B03" w:rsidRDefault="00442B03">
      <w:pPr>
        <w:pStyle w:val="FootnoteText"/>
      </w:pPr>
      <w:r>
        <w:rPr>
          <w:rStyle w:val="FootnoteReference"/>
        </w:rPr>
        <w:footnoteRef/>
      </w:r>
      <w:r>
        <w:t xml:space="preserve"> Not to be confused with ad infinitum</w:t>
      </w:r>
      <w:r w:rsidR="00A54359">
        <w:t>.</w:t>
      </w:r>
    </w:p>
  </w:footnote>
  <w:footnote w:id="7">
    <w:p w:rsidR="00DD21F3" w:rsidRPr="00A54359" w:rsidRDefault="00DD21F3">
      <w:pPr>
        <w:pStyle w:val="FootnoteText"/>
      </w:pPr>
      <w:r>
        <w:rPr>
          <w:rStyle w:val="FootnoteReference"/>
        </w:rPr>
        <w:footnoteRef/>
      </w:r>
      <w:r>
        <w:t xml:space="preserve"> As it turns out, the Odyssey by Homer and the </w:t>
      </w:r>
      <w:proofErr w:type="spellStart"/>
      <w:r>
        <w:t>Aeneid</w:t>
      </w:r>
      <w:proofErr w:type="spellEnd"/>
      <w:r>
        <w:t xml:space="preserve"> by Virgil both start </w:t>
      </w:r>
      <w:r>
        <w:rPr>
          <w:i/>
        </w:rPr>
        <w:t>in medias res</w:t>
      </w:r>
      <w:r>
        <w:t xml:space="preserve">.  The Iliad does it too, but it doesn’t have the one thing that most </w:t>
      </w:r>
      <w:r>
        <w:rPr>
          <w:i/>
        </w:rPr>
        <w:t>in medias res</w:t>
      </w:r>
      <w:r>
        <w:t xml:space="preserve"> bo</w:t>
      </w:r>
      <w:r w:rsidR="00A54359">
        <w:t xml:space="preserve">oks have: flashbacks.  Most of the action of the Odyssey in terms of time happens in a flashback in Books IX through XII, but in the Iliad, there are little to no flashbacks at all, although it starts in the think of the Trojan War.  And don’t think this is only Latin and Greek books that start </w:t>
      </w:r>
      <w:r w:rsidR="00A54359">
        <w:rPr>
          <w:i/>
        </w:rPr>
        <w:t>in medias res</w:t>
      </w:r>
      <w:r w:rsidR="00A54359">
        <w:t xml:space="preserve">; Paradise Lost (1667) by John Milton and Light in August (1932) by William Faulkner both start </w:t>
      </w:r>
      <w:r w:rsidR="00A54359">
        <w:rPr>
          <w:i/>
        </w:rPr>
        <w:t>in medias res</w:t>
      </w:r>
      <w:r w:rsidR="00A54359">
        <w:t xml:space="preserve"> as well.</w:t>
      </w:r>
    </w:p>
  </w:footnote>
  <w:footnote w:id="8">
    <w:p w:rsidR="00442B03" w:rsidRDefault="00442B03">
      <w:pPr>
        <w:pStyle w:val="FootnoteText"/>
      </w:pPr>
      <w:r>
        <w:rPr>
          <w:rStyle w:val="FootnoteReference"/>
        </w:rPr>
        <w:footnoteRef/>
      </w:r>
      <w:r>
        <w:t xml:space="preserve"> </w:t>
      </w:r>
      <w:proofErr w:type="gramStart"/>
      <w:r>
        <w:t>Abbreviated MO in detective fiction</w:t>
      </w:r>
      <w:r w:rsidR="00A54359">
        <w:t>.</w:t>
      </w:r>
      <w:proofErr w:type="gramEnd"/>
    </w:p>
  </w:footnote>
  <w:footnote w:id="9">
    <w:p w:rsidR="00442B03" w:rsidRDefault="00442B03">
      <w:pPr>
        <w:pStyle w:val="FootnoteText"/>
      </w:pPr>
      <w:r>
        <w:rPr>
          <w:rStyle w:val="FootnoteReference"/>
        </w:rPr>
        <w:footnoteRef/>
      </w:r>
      <w:r>
        <w:t xml:space="preserve"> Not to be confused with post scriptum (PS); formally, post scriptum is used after a letter’s body, as additional stuff</w:t>
      </w:r>
      <w:r w:rsidR="00A54359">
        <w:t>.</w:t>
      </w:r>
    </w:p>
  </w:footnote>
  <w:footnote w:id="10">
    <w:p w:rsidR="00CD027F" w:rsidRDefault="00CD027F">
      <w:pPr>
        <w:pStyle w:val="FootnoteText"/>
      </w:pPr>
      <w:r>
        <w:rPr>
          <w:rStyle w:val="FootnoteReference"/>
        </w:rPr>
        <w:footnoteRef/>
      </w:r>
      <w:r>
        <w:t xml:space="preserve"> Used usually for salaries, as in “$13,400,000 p.a.”; unfortunately the rest of these (per diem, per capi</w:t>
      </w:r>
      <w:r w:rsidR="0075715A">
        <w:t>ta) are usually not abbreviated in the same manner.</w:t>
      </w:r>
    </w:p>
  </w:footnote>
  <w:footnote w:id="11">
    <w:p w:rsidR="00860D75" w:rsidRDefault="00860D75">
      <w:pPr>
        <w:pStyle w:val="FootnoteText"/>
      </w:pPr>
      <w:r>
        <w:rPr>
          <w:rStyle w:val="FootnoteReference"/>
        </w:rPr>
        <w:footnoteRef/>
      </w:r>
      <w:r>
        <w:t xml:space="preserve"> If you’ve taken geometry, you probably wrote QED at the end of your proofs as well.  </w:t>
      </w:r>
    </w:p>
  </w:footnote>
  <w:footnote w:id="12">
    <w:p w:rsidR="00EF28F7" w:rsidRDefault="00EF28F7">
      <w:pPr>
        <w:pStyle w:val="FootnoteText"/>
      </w:pPr>
      <w:r>
        <w:rPr>
          <w:rStyle w:val="FootnoteReference"/>
        </w:rPr>
        <w:footnoteRef/>
      </w:r>
      <w:r>
        <w:t xml:space="preserve"> The English equivalents are many, e.g. “a favor for a favor”, “give and take”, “you scratch my back and I’ll scratch yours”, and not necessarily as vindictive as “tit for tat”.</w:t>
      </w:r>
    </w:p>
  </w:footnote>
  <w:footnote w:id="13">
    <w:p w:rsidR="00860D75" w:rsidRDefault="00860D75">
      <w:pPr>
        <w:pStyle w:val="FootnoteText"/>
      </w:pPr>
      <w:r>
        <w:rPr>
          <w:rStyle w:val="FootnoteReference"/>
        </w:rPr>
        <w:footnoteRef/>
      </w:r>
      <w:r>
        <w:t xml:space="preserve"> The next time you hear somebody use RIP instead of rest in peace, you can go yell at them for not using it correctly.</w:t>
      </w:r>
    </w:p>
  </w:footnote>
  <w:footnote w:id="14">
    <w:p w:rsidR="00701E13" w:rsidRDefault="00701E13">
      <w:pPr>
        <w:pStyle w:val="FootnoteText"/>
      </w:pPr>
      <w:r>
        <w:rPr>
          <w:rStyle w:val="FootnoteReference"/>
        </w:rPr>
        <w:footnoteRef/>
      </w:r>
      <w:r>
        <w:t xml:space="preserve"> For some reason many people believe status quo always refers to </w:t>
      </w:r>
      <w:proofErr w:type="gramStart"/>
      <w:r>
        <w:t>an equality</w:t>
      </w:r>
      <w:proofErr w:type="gramEnd"/>
      <w:r>
        <w:t>, but it isn’t necessarily true.  It just means what the situation is right now, regardless of whether it is equal or not.</w:t>
      </w:r>
    </w:p>
  </w:footnote>
  <w:footnote w:id="15">
    <w:p w:rsidR="00701E13" w:rsidRPr="00701E13" w:rsidRDefault="00701E13">
      <w:pPr>
        <w:pStyle w:val="FootnoteText"/>
      </w:pPr>
      <w:r>
        <w:rPr>
          <w:rStyle w:val="FootnoteReference"/>
        </w:rPr>
        <w:footnoteRef/>
      </w:r>
      <w:r>
        <w:t xml:space="preserve"> From Book 1, poem 11 (or more properly in Latin, Liber I, </w:t>
      </w:r>
      <w:proofErr w:type="gramStart"/>
      <w:r>
        <w:t>Carmen</w:t>
      </w:r>
      <w:proofErr w:type="gramEnd"/>
      <w:r>
        <w:t xml:space="preserve"> XI) of Horace’s </w:t>
      </w:r>
      <w:r>
        <w:rPr>
          <w:i/>
        </w:rPr>
        <w:t>Odes</w:t>
      </w:r>
      <w:r>
        <w:t xml:space="preserve">, which starts </w:t>
      </w:r>
      <w:proofErr w:type="spellStart"/>
      <w:r>
        <w:rPr>
          <w:i/>
        </w:rPr>
        <w:t>Tu</w:t>
      </w:r>
      <w:proofErr w:type="spellEnd"/>
      <w:r>
        <w:rPr>
          <w:i/>
        </w:rPr>
        <w:t xml:space="preserve"> ne </w:t>
      </w:r>
      <w:proofErr w:type="spellStart"/>
      <w:r>
        <w:rPr>
          <w:i/>
        </w:rPr>
        <w:t>quaesieris</w:t>
      </w:r>
      <w:proofErr w:type="spellEnd"/>
      <w:r>
        <w:rPr>
          <w:i/>
        </w:rPr>
        <w:t xml:space="preserve">, </w:t>
      </w:r>
      <w:proofErr w:type="spellStart"/>
      <w:r>
        <w:rPr>
          <w:i/>
        </w:rPr>
        <w:t>scire</w:t>
      </w:r>
      <w:proofErr w:type="spellEnd"/>
      <w:r>
        <w:rPr>
          <w:i/>
        </w:rPr>
        <w:t xml:space="preserve"> </w:t>
      </w:r>
      <w:proofErr w:type="spellStart"/>
      <w:r>
        <w:rPr>
          <w:i/>
        </w:rPr>
        <w:t>nefas</w:t>
      </w:r>
      <w:proofErr w:type="spellEnd"/>
      <w:r>
        <w:rPr>
          <w:i/>
        </w:rPr>
        <w:t>…</w:t>
      </w:r>
      <w:r>
        <w:t xml:space="preserve">  The full quote is </w:t>
      </w:r>
      <w:r>
        <w:rPr>
          <w:i/>
        </w:rPr>
        <w:t xml:space="preserve">carpe diem, quam minimum </w:t>
      </w:r>
      <w:proofErr w:type="spellStart"/>
      <w:r>
        <w:rPr>
          <w:i/>
        </w:rPr>
        <w:t>credula</w:t>
      </w:r>
      <w:proofErr w:type="spellEnd"/>
      <w:r>
        <w:rPr>
          <w:i/>
        </w:rPr>
        <w:t xml:space="preserve"> </w:t>
      </w:r>
      <w:proofErr w:type="spellStart"/>
      <w:r>
        <w:rPr>
          <w:i/>
        </w:rPr>
        <w:t>postero</w:t>
      </w:r>
      <w:proofErr w:type="spellEnd"/>
      <w:r>
        <w:t xml:space="preserve"> which means “seize the day, trusting as little as possible in the next day</w:t>
      </w:r>
      <w:r w:rsidR="0075715A">
        <w:t xml:space="preserve"> [when Horace says “the next day”, he means “tomorrow” or “the future”]</w:t>
      </w:r>
      <w:r>
        <w:t>.”</w:t>
      </w:r>
    </w:p>
  </w:footnote>
  <w:footnote w:id="16">
    <w:p w:rsidR="00A00E2B" w:rsidRDefault="00A00E2B">
      <w:pPr>
        <w:pStyle w:val="FootnoteText"/>
      </w:pPr>
      <w:r>
        <w:rPr>
          <w:rStyle w:val="FootnoteReference"/>
        </w:rPr>
        <w:footnoteRef/>
      </w:r>
      <w:r>
        <w:t xml:space="preserve"> This is the Latin version of the more modern YOLO (you only live once).</w:t>
      </w:r>
    </w:p>
  </w:footnote>
  <w:footnote w:id="17">
    <w:p w:rsidR="00A00E2B" w:rsidRDefault="00A00E2B">
      <w:pPr>
        <w:pStyle w:val="FootnoteText"/>
      </w:pPr>
      <w:r>
        <w:rPr>
          <w:rStyle w:val="FootnoteReference"/>
        </w:rPr>
        <w:footnoteRef/>
      </w:r>
      <w:r>
        <w:t xml:space="preserve"> Just kidding, I didn’t.</w:t>
      </w:r>
    </w:p>
  </w:footnote>
  <w:footnote w:id="18">
    <w:p w:rsidR="00EF28F7" w:rsidRPr="00EF28F7" w:rsidRDefault="00EF28F7">
      <w:pPr>
        <w:pStyle w:val="FootnoteText"/>
      </w:pPr>
      <w:r>
        <w:rPr>
          <w:rStyle w:val="FootnoteReference"/>
        </w:rPr>
        <w:footnoteRef/>
      </w:r>
      <w:r>
        <w:t xml:space="preserve"> </w:t>
      </w:r>
      <w:r>
        <w:rPr>
          <w:i/>
        </w:rPr>
        <w:t xml:space="preserve">Caveat </w:t>
      </w:r>
      <w:proofErr w:type="spellStart"/>
      <w:r>
        <w:rPr>
          <w:i/>
        </w:rPr>
        <w:t>venditor</w:t>
      </w:r>
      <w:proofErr w:type="spellEnd"/>
      <w:r>
        <w:t xml:space="preserve"> is much less common than </w:t>
      </w:r>
      <w:r>
        <w:rPr>
          <w:i/>
        </w:rPr>
        <w:t>caveat emptor</w:t>
      </w:r>
      <w:r>
        <w:t xml:space="preserve">, but it means that sellers can also be fooled in transactions, along with buyers; see the landmark case of MacPherson v. Buick Motor Co. (1916) for more information on the beginnings of </w:t>
      </w:r>
      <w:r>
        <w:rPr>
          <w:i/>
        </w:rPr>
        <w:t xml:space="preserve">caveat </w:t>
      </w:r>
      <w:proofErr w:type="spellStart"/>
      <w:r>
        <w:rPr>
          <w:i/>
        </w:rPr>
        <w:t>venditor</w:t>
      </w:r>
      <w:proofErr w:type="spellEnd"/>
      <w:r>
        <w:t xml:space="preserve"> in US tort law.</w:t>
      </w:r>
    </w:p>
  </w:footnote>
  <w:footnote w:id="19">
    <w:p w:rsidR="00A00E2B" w:rsidRDefault="00A00E2B">
      <w:pPr>
        <w:pStyle w:val="FootnoteText"/>
      </w:pPr>
      <w:r>
        <w:rPr>
          <w:rStyle w:val="FootnoteReference"/>
        </w:rPr>
        <w:footnoteRef/>
      </w:r>
      <w:r>
        <w:t xml:space="preserve"> Turns out, the modern word </w:t>
      </w:r>
      <w:r w:rsidRPr="00A00E2B">
        <w:rPr>
          <w:i/>
        </w:rPr>
        <w:t>chamber</w:t>
      </w:r>
      <w:r>
        <w:t xml:space="preserve"> derives from the Latin word </w:t>
      </w:r>
      <w:proofErr w:type="gramStart"/>
      <w:r w:rsidRPr="00A00E2B">
        <w:rPr>
          <w:i/>
        </w:rPr>
        <w:t>camera</w:t>
      </w:r>
      <w:r>
        <w:t>,</w:t>
      </w:r>
      <w:proofErr w:type="gramEnd"/>
      <w:r>
        <w:t xml:space="preserve"> and so does the modern word </w:t>
      </w:r>
      <w:r w:rsidRPr="00A00E2B">
        <w:rPr>
          <w:i/>
        </w:rPr>
        <w:t>camera</w:t>
      </w:r>
      <w:r>
        <w:t xml:space="preserve"> as well (surprise, surprise!).  </w:t>
      </w:r>
    </w:p>
  </w:footnote>
  <w:footnote w:id="20">
    <w:p w:rsidR="00660692" w:rsidRDefault="00660692">
      <w:pPr>
        <w:pStyle w:val="FootnoteText"/>
      </w:pPr>
      <w:r>
        <w:rPr>
          <w:rStyle w:val="FootnoteReference"/>
        </w:rPr>
        <w:footnoteRef/>
      </w:r>
      <w:r>
        <w:t xml:space="preserve"> </w:t>
      </w:r>
      <w:proofErr w:type="gramStart"/>
      <w:r>
        <w:t>True story, actually.</w:t>
      </w:r>
      <w:proofErr w:type="gramEnd"/>
      <w:r>
        <w:t xml:space="preserve">  Who knew politicians could actually be smart?</w:t>
      </w:r>
    </w:p>
  </w:footnote>
  <w:footnote w:id="21">
    <w:p w:rsidR="00EF28F7" w:rsidRDefault="00EF28F7">
      <w:pPr>
        <w:pStyle w:val="FootnoteText"/>
      </w:pPr>
      <w:r>
        <w:rPr>
          <w:rStyle w:val="FootnoteReference"/>
        </w:rPr>
        <w:footnoteRef/>
      </w:r>
      <w:r>
        <w:t xml:space="preserve"> This is derived from the fact that Romans had a habit of hanging a rose over council tables to indicate that all of the people present were sworn to secrecy.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692" w:rsidRPr="00660692" w:rsidRDefault="00660692">
    <w:pPr>
      <w:pStyle w:val="Header"/>
      <w:rPr>
        <w:b/>
      </w:rPr>
    </w:pPr>
    <w:r w:rsidRPr="00660692">
      <w:rPr>
        <w:b/>
      </w:rPr>
      <w:t xml:space="preserve">Expression, </w:t>
    </w:r>
    <w:r w:rsidR="00A54359">
      <w:rPr>
        <w:b/>
        <w:i/>
      </w:rPr>
      <w:t xml:space="preserve">alternate </w:t>
    </w:r>
    <w:r w:rsidR="00A54359">
      <w:rPr>
        <w:b/>
      </w:rPr>
      <w:t xml:space="preserve">  </w:t>
    </w:r>
    <w:r w:rsidRPr="00660692">
      <w:rPr>
        <w:b/>
      </w:rPr>
      <w:t>“Literal meaning”, common meaning</w:t>
    </w:r>
    <w:r w:rsidR="00A54359">
      <w:rPr>
        <w:b/>
      </w:rPr>
      <w:t xml:space="preserve">        </w:t>
    </w:r>
    <w:r w:rsidRPr="00660692">
      <w:rPr>
        <w:b/>
      </w:rPr>
      <w:t>Example</w:t>
    </w:r>
  </w:p>
  <w:p w:rsidR="00660692" w:rsidRPr="00660692" w:rsidRDefault="00A54359">
    <w:pPr>
      <w:pStyle w:val="Header"/>
      <w:rPr>
        <w:b/>
      </w:rPr>
    </w:pPr>
    <w:r>
      <w:rPr>
        <w:b/>
      </w:rPr>
      <w:t>(</w:t>
    </w:r>
    <w:proofErr w:type="gramStart"/>
    <w:r>
      <w:rPr>
        <w:b/>
      </w:rPr>
      <w:t>a</w:t>
    </w:r>
    <w:r w:rsidR="00660692" w:rsidRPr="00660692">
      <w:rPr>
        <w:b/>
      </w:rPr>
      <w:t>bbreviation</w:t>
    </w:r>
    <w:proofErr w:type="gramEnd"/>
    <w:r>
      <w:rPr>
        <w:b/>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62D"/>
    <w:rsid w:val="000F2B9A"/>
    <w:rsid w:val="0021293A"/>
    <w:rsid w:val="00442B03"/>
    <w:rsid w:val="005F2C32"/>
    <w:rsid w:val="00623FA6"/>
    <w:rsid w:val="00660692"/>
    <w:rsid w:val="00701E13"/>
    <w:rsid w:val="0075715A"/>
    <w:rsid w:val="00860D75"/>
    <w:rsid w:val="0099007A"/>
    <w:rsid w:val="00A00E2B"/>
    <w:rsid w:val="00A54359"/>
    <w:rsid w:val="00AD5025"/>
    <w:rsid w:val="00AE24BB"/>
    <w:rsid w:val="00CD027F"/>
    <w:rsid w:val="00D5162D"/>
    <w:rsid w:val="00DD21F3"/>
    <w:rsid w:val="00EF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16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42B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B03"/>
    <w:rPr>
      <w:sz w:val="20"/>
      <w:szCs w:val="20"/>
    </w:rPr>
  </w:style>
  <w:style w:type="character" w:styleId="FootnoteReference">
    <w:name w:val="footnote reference"/>
    <w:basedOn w:val="DefaultParagraphFont"/>
    <w:uiPriority w:val="99"/>
    <w:semiHidden/>
    <w:unhideWhenUsed/>
    <w:rsid w:val="00442B03"/>
    <w:rPr>
      <w:vertAlign w:val="superscript"/>
    </w:rPr>
  </w:style>
  <w:style w:type="paragraph" w:styleId="Header">
    <w:name w:val="header"/>
    <w:basedOn w:val="Normal"/>
    <w:link w:val="HeaderChar"/>
    <w:uiPriority w:val="99"/>
    <w:unhideWhenUsed/>
    <w:rsid w:val="00660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692"/>
  </w:style>
  <w:style w:type="paragraph" w:styleId="Footer">
    <w:name w:val="footer"/>
    <w:basedOn w:val="Normal"/>
    <w:link w:val="FooterChar"/>
    <w:uiPriority w:val="99"/>
    <w:unhideWhenUsed/>
    <w:rsid w:val="0066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6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16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42B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B03"/>
    <w:rPr>
      <w:sz w:val="20"/>
      <w:szCs w:val="20"/>
    </w:rPr>
  </w:style>
  <w:style w:type="character" w:styleId="FootnoteReference">
    <w:name w:val="footnote reference"/>
    <w:basedOn w:val="DefaultParagraphFont"/>
    <w:uiPriority w:val="99"/>
    <w:semiHidden/>
    <w:unhideWhenUsed/>
    <w:rsid w:val="00442B03"/>
    <w:rPr>
      <w:vertAlign w:val="superscript"/>
    </w:rPr>
  </w:style>
  <w:style w:type="paragraph" w:styleId="Header">
    <w:name w:val="header"/>
    <w:basedOn w:val="Normal"/>
    <w:link w:val="HeaderChar"/>
    <w:uiPriority w:val="99"/>
    <w:unhideWhenUsed/>
    <w:rsid w:val="00660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692"/>
  </w:style>
  <w:style w:type="paragraph" w:styleId="Footer">
    <w:name w:val="footer"/>
    <w:basedOn w:val="Normal"/>
    <w:link w:val="FooterChar"/>
    <w:uiPriority w:val="99"/>
    <w:unhideWhenUsed/>
    <w:rsid w:val="0066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892D5-684A-49A4-BE6E-5FFF5253E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2014-12-27T17:57:00Z</dcterms:created>
  <dcterms:modified xsi:type="dcterms:W3CDTF">2014-12-27T20:30:00Z</dcterms:modified>
</cp:coreProperties>
</file>