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of the key steps involved in conducting a meta-analysis. As a basis for this, we will use a recently published meta-analysis that examined the relationship between procedural learning and reading ability.</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Identify and extract effect sizes for pooling.</w:t>
            </w:r>
          </w:p>
          <w:p>
            <w:pPr>
              <w:pStyle w:val="Compact"/>
              <w:numPr>
                <w:ilvl w:val="0"/>
                <w:numId w:val="1001"/>
              </w:numPr>
            </w:pPr>
            <w:r>
              <w:t xml:space="preserve">Calculate pooled effect sizes via fixed and random effects meta-analyses.</w:t>
            </w:r>
          </w:p>
          <w:p>
            <w:pPr>
              <w:pStyle w:val="Compact"/>
              <w:numPr>
                <w:ilvl w:val="0"/>
                <w:numId w:val="1001"/>
              </w:numPr>
            </w:pPr>
            <w:r>
              <w:t xml:space="preserve">Use sample size to weight studies in a meta-analysis.</w:t>
            </w:r>
          </w:p>
          <w:p>
            <w:pPr>
              <w:pStyle w:val="Compact"/>
              <w:numPr>
                <w:ilvl w:val="0"/>
                <w:numId w:val="1001"/>
              </w:numPr>
            </w:pPr>
            <w:r>
              <w:t xml:space="preserve">Produce a forest plot to display effect sizes.</w:t>
            </w:r>
          </w:p>
          <w:p>
            <w:pPr>
              <w:pStyle w:val="Compact"/>
              <w:numPr>
                <w:ilvl w:val="0"/>
                <w:numId w:val="1001"/>
              </w:numPr>
            </w:pPr>
            <w:r>
              <w:t xml:space="preserve">Produce a funnel plot to inspect for publication bias.</w:t>
            </w:r>
          </w:p>
        </w:tc>
      </w:tr>
    </w:tbl>
    <w:p>
      <w:r>
        <w:pict>
          <v:rect style="width:0;height:1.5pt" o:hralign="center" o:hrstd="t" o:hr="t"/>
        </w:pict>
      </w:r>
    </w:p>
    <w:bookmarkEnd w:id="20"/>
    <w:bookmarkStart w:id="26" w:name="effect-sizes"/>
    <w:p>
      <w:pPr>
        <w:pStyle w:val="Heading1"/>
      </w:pPr>
      <w:r>
        <w:t xml:space="preserve">2. Effect sizes</w:t>
      </w:r>
    </w:p>
    <w:bookmarkStart w:id="23"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ambr1_srt_gaps.csv.</w:t>
      </w:r>
      <w:r>
        <w:t xml:space="preserve"> </w:t>
      </w:r>
      <w:r>
        <w:t xml:space="preserve">Download this file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w:t>
            </w:r>
            <w:r>
              <w:t xml:space="preserve"> </w:t>
            </w:r>
            <w:r>
              <w:rPr>
                <w:b/>
                <w:bCs/>
              </w:rPr>
              <w:t xml:space="preserve">0_SetUp.pdf</w:t>
            </w:r>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1">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2">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ambr1_srt_complete.csv</w:t>
      </w:r>
      <w:r>
        <w:t xml:space="preserve"> </w:t>
      </w:r>
      <w:r>
        <w:t xml:space="preserve">in the same data folder.</w:t>
      </w:r>
    </w:p>
    <w:bookmarkEnd w:id="23"/>
    <w:bookmarkStart w:id="24" w:name="setting-up-in-rstudio"/>
    <w:p>
      <w:pPr>
        <w:pStyle w:val="Heading2"/>
      </w:pPr>
      <w:r>
        <w:t xml:space="preserve">2.2 Setting up in RStudio</w:t>
      </w:r>
    </w:p>
    <w:p>
      <w:pPr>
        <w:pStyle w:val="FirstParagraph"/>
      </w:pPr>
      <w:r>
        <w:t xml:space="preserve">Now we have extracted information from our identified studies, let’s load the data into R. In your ARM_Practicals folder, double click the ARM_Practicals.Rproj 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Let’s 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necessary packages for today.</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into R. If you have opened your R project and have saved the data in the data folder, you should be able to load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"./data/ambr1_srt_complete.csv"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4"/>
    <w:bookmarkStart w:id="25" w:name="compute-sampling-variance"/>
    <w:p>
      <w:pPr>
        <w:pStyle w:val="Heading2"/>
      </w:pPr>
      <w:r>
        <w:t xml:space="preserve">2.3 Compute sampling variance</w:t>
      </w:r>
    </w:p>
    <w:p>
      <w:pPr>
        <w:pStyle w:val="FirstParagraph"/>
      </w:pPr>
      <w:r>
        <w:t xml:space="preserve">We already have a correlation coefficient for each study, which is our effect size for this meta-analysis. It quantifies the direction and strength of relationship between SRT task performance and reading ability. However, some of the studies has much larger sample sizes than others. Use the</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functions to identify the smallest and largest sample sizes (</w:t>
      </w:r>
      <w:r>
        <w:rPr>
          <w:rStyle w:val="VerbatimChar"/>
        </w:rPr>
        <w:t xml:space="preserve">N</w:t>
      </w:r>
      <w:r>
        <w:t xml:space="preserve">) in the dataset. Remember, you can call e.g.,</w:t>
      </w:r>
      <w:r>
        <w:t xml:space="preserve"> </w:t>
      </w:r>
      <w:r>
        <w:rPr>
          <w:rStyle w:val="VerbatimChar"/>
        </w:rPr>
        <w:t xml:space="preserve">help(min)</w:t>
      </w:r>
      <w:r>
        <w:t xml:space="preserve"> </w:t>
      </w:r>
      <w:r>
        <w:t xml:space="preserve">to remind you how these functions work.</w:t>
      </w:r>
    </w:p>
    <w:p>
      <w:pPr>
        <w:pStyle w:val="BodyText"/>
      </w:pPr>
      <w:r>
        <w:t xml:space="preserve">To capture this uncertainty around the correlation estimates, we should compute their variance ahead of running the meta-analysis. Our meta-analysis package,</w:t>
      </w:r>
      <w:r>
        <w:t xml:space="preserve"> </w:t>
      </w:r>
      <w:r>
        <w:rPr>
          <w:i/>
          <w:iCs/>
        </w:rPr>
        <w:t xml:space="preserve">metafor</w:t>
      </w:r>
      <w:r>
        <w:t xml:space="preserv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 td_dat_var. If you click the grid to inspect it, you will see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we’re ready to run the analysis!</w:t>
      </w:r>
    </w:p>
    <w:p>
      <w:r>
        <w:pict>
          <v:rect style="width:0;height:1.5pt" o:hralign="center" o:hrstd="t" o:hr="t"/>
        </w:pict>
      </w:r>
    </w:p>
    <w:bookmarkEnd w:id="25"/>
    <w:bookmarkEnd w:id="26"/>
    <w:bookmarkStart w:id="29"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7"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(fixed_mod)</w:t>
      </w:r>
    </w:p>
    <w:p>
      <w:pPr>
        <w:pStyle w:val="SourceCode"/>
      </w:pPr>
      <w:r>
        <w:br/>
      </w:r>
      <w:r>
        <w:rPr>
          <w:rStyle w:val="VerbatimChar"/>
        </w:rPr>
        <w:t xml:space="preserve">Fixed-Effects Model (k = 73)</w:t>
      </w:r>
      <w:r>
        <w:br/>
      </w:r>
      <w:r>
        <w:br/>
      </w:r>
      <w:r>
        <w:rPr>
          <w:rStyle w:val="VerbatimChar"/>
        </w:rPr>
        <w:t xml:space="preserve">  logLik  deviance       AIC       BIC      AICc   </w:t>
      </w:r>
      <w:r>
        <w:br/>
      </w:r>
      <w:r>
        <w:rPr>
          <w:rStyle w:val="VerbatimChar"/>
        </w:rPr>
        <w:t xml:space="preserve"> 23.9041   82.2057  -45.8082  -43.5177  -45.7518   </w:t>
      </w:r>
      <w:r>
        <w:br/>
      </w:r>
      <w:r>
        <w:br/>
      </w:r>
      <w:r>
        <w:rPr>
          <w:rStyle w:val="VerbatimChar"/>
        </w:rPr>
        <w:t xml:space="preserve">I^2 (total heterogeneity / total variability):   12.41%</w:t>
      </w:r>
      <w:r>
        <w:br/>
      </w:r>
      <w:r>
        <w:rPr>
          <w:rStyle w:val="VerbatimChar"/>
        </w:rPr>
        <w:t xml:space="preserve">H^2 (total variability / sampling variability):  1.14</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0.0444  0.0178  2.5003  0.0124  0.0096  0.0793  * </w:t>
      </w:r>
      <w:r>
        <w:br/>
      </w:r>
      <w:r>
        <w:br/>
      </w:r>
      <w:r>
        <w:rPr>
          <w:rStyle w:val="VerbatimChar"/>
        </w:rPr>
        <w:t xml:space="preserve">---</w:t>
      </w:r>
      <w:r>
        <w:br/>
      </w:r>
      <w:r>
        <w:rPr>
          <w:rStyle w:val="VerbatimChar"/>
        </w:rPr>
        <w:t xml:space="preserve">Signif. codes:  0 '***' 0.001 '**' 0.01 '*' 0.05 '.' 0.1 ' ' 1</w:t>
      </w:r>
    </w:p>
    <w:p>
      <w:pPr>
        <w:pStyle w:val="FirstParagraph"/>
      </w:pPr>
      <w:r>
        <w:t xml:space="preserve">The output tells us that we ran a Fixed-Effects model with 73 effect sizes. The pooled estimate for the correlation coefficient is ~0.04, showing a very small yet statistically significant correlation.</w:t>
      </w:r>
    </w:p>
    <w:bookmarkEnd w:id="27"/>
    <w:bookmarkStart w:id="28"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SourceCode"/>
      </w:pPr>
      <w:r>
        <w:br/>
      </w:r>
      <w:r>
        <w:rPr>
          <w:rStyle w:val="VerbatimChar"/>
        </w:rPr>
        <w:t xml:space="preserve">Random-Effects Model (k = 73; tau^2 estimator: REML)</w:t>
      </w:r>
      <w:r>
        <w:br/>
      </w:r>
      <w:r>
        <w:br/>
      </w:r>
      <w:r>
        <w:rPr>
          <w:rStyle w:val="VerbatimChar"/>
        </w:rPr>
        <w:t xml:space="preserve">  logLik  deviance       AIC       BIC      AICc   </w:t>
      </w:r>
      <w:r>
        <w:br/>
      </w:r>
      <w:r>
        <w:rPr>
          <w:rStyle w:val="VerbatimChar"/>
        </w:rPr>
        <w:t xml:space="preserve"> 25.3819  -50.7639  -46.7639  -42.2105  -46.5900   </w:t>
      </w:r>
      <w:r>
        <w:br/>
      </w:r>
      <w:r>
        <w:br/>
      </w:r>
      <w:r>
        <w:rPr>
          <w:rStyle w:val="VerbatimChar"/>
        </w:rPr>
        <w:t xml:space="preserve">tau^2 (estimated amount of total heterogeneity): 0.0068 (SE = 0.0049)</w:t>
      </w:r>
      <w:r>
        <w:br/>
      </w:r>
      <w:r>
        <w:rPr>
          <w:rStyle w:val="VerbatimChar"/>
        </w:rPr>
        <w:t xml:space="preserve">tau (square root of estimated tau^2 value):      0.0827</w:t>
      </w:r>
      <w:r>
        <w:br/>
      </w:r>
      <w:r>
        <w:rPr>
          <w:rStyle w:val="VerbatimChar"/>
        </w:rPr>
        <w:t xml:space="preserve">I^2 (total heterogeneity / total variability):   22.78%</w:t>
      </w:r>
      <w:r>
        <w:br/>
      </w:r>
      <w:r>
        <w:rPr>
          <w:rStyle w:val="VerbatimChar"/>
        </w:rPr>
        <w:t xml:space="preserve">H^2 (total variability / sampling variability):  1.30</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0.0361  0.0208  1.7361  0.0825  -0.0047  0.0769  . </w:t>
      </w:r>
      <w:r>
        <w:br/>
      </w:r>
      <w:r>
        <w:br/>
      </w:r>
      <w:r>
        <w:rPr>
          <w:rStyle w:val="VerbatimChar"/>
        </w:rPr>
        <w:t xml:space="preserve">---</w:t>
      </w:r>
      <w:r>
        <w:br/>
      </w:r>
      <w:r>
        <w:rPr>
          <w:rStyle w:val="VerbatimChar"/>
        </w:rPr>
        <w:t xml:space="preserve">Signif. codes:  0 '***' 0.001 '**' 0.01 '*' 0.05 '.' 0.1 ' ' 1</w:t>
      </w:r>
    </w:p>
    <w:p>
      <w:pPr>
        <w:pStyle w:val="FirstParagraph"/>
      </w:pPr>
      <w:r>
        <w:t xml:space="preserve">We can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8"/>
    <w:bookmarkEnd w:id="29"/>
    <w:bookmarkStart w:id="32"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0"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0"/>
    <w:bookmarkStart w:id="31"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1"/>
    <w:bookmarkEnd w:id="32"/>
    <w:bookmarkStart w:id="33" w:name="displaying-results-with-forest-plots"/>
    <w:p>
      <w:pPr>
        <w:pStyle w:val="Heading1"/>
      </w:pPr>
      <w:r>
        <w:t xml:space="preserve">5. Displaying results with forest plots</w:t>
      </w:r>
    </w:p>
    <w:p>
      <w:pPr>
        <w:pStyle w:val="FirstParagraph"/>
      </w:pPr>
      <w:r>
        <w:t xml:space="preserve">An easy way to visualise the results is to use a forest plot. The</w:t>
      </w:r>
      <w:r>
        <w:t xml:space="preserve"> </w:t>
      </w:r>
      <w:r>
        <w:rPr>
          <w:i/>
          <w:iCs/>
        </w:rPr>
        <w:t xml:space="preserve">metafor</w:t>
      </w:r>
      <w:r>
        <w:t xml:space="preserve"> </w:t>
      </w:r>
      <w:r>
        <w:t xml:space="preserve">package provides a handy</w:t>
      </w:r>
      <w:r>
        <w:t xml:space="preserve"> </w:t>
      </w:r>
      <w:r>
        <w:rPr>
          <w:rStyle w:val="VerbatimChar"/>
        </w:rPr>
        <w:t xml:space="preserve">forest()</w:t>
      </w:r>
      <w:r>
        <w:t xml:space="preserve"> </w:t>
      </w:r>
      <w:r>
        <w:t xml:space="preserve">function for this: we simply give it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Try this now for the different models you ran, and see how the pooled estimate at the bottom changes in whether it crosses the 0 line.</w:t>
      </w:r>
    </w:p>
    <w:bookmarkEnd w:id="33"/>
    <w:bookmarkStart w:id="35"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which is also a built-in function in the</w:t>
      </w:r>
      <w:r>
        <w:t xml:space="preserve"> </w:t>
      </w:r>
      <w:r>
        <w:rPr>
          <w:i/>
          <w:iCs/>
        </w:rPr>
        <w:t xml:space="preserve">metafor</w:t>
      </w:r>
      <w:r>
        <w:t xml:space="preserve"> </w:t>
      </w:r>
      <w:r>
        <w:t xml:space="preserve">package. See if you can find the relevant function online and apply it here.</w:t>
      </w:r>
    </w:p>
    <w:bookmarkEnd w:id="35"/>
    <w:bookmarkStart w:id="42"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6">
        <w:r>
          <w:rPr>
            <w:rStyle w:val="Hyperlink"/>
          </w:rPr>
          <w:t xml:space="preserve">access the full paper here</w:t>
        </w:r>
      </w:hyperlink>
      <w:r>
        <w:t xml:space="preserve"> </w:t>
      </w:r>
      <w:r>
        <w:t xml:space="preserve">or</w:t>
      </w:r>
      <w:r>
        <w:t xml:space="preserve"> </w:t>
      </w:r>
      <w:hyperlink r:id="rId37">
        <w:r>
          <w:rPr>
            <w:rStyle w:val="Hyperlink"/>
          </w:rPr>
          <w:t xml:space="preserve">download the full dataset and analysis scripts</w:t>
        </w:r>
      </w:hyperlink>
      <w:r>
        <w:t xml:space="preserve">.</w:t>
      </w:r>
    </w:p>
    <w:bookmarkStart w:id="38"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bookmarkEnd w:id="38"/>
    <w:bookmarkStart w:id="41"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39">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Feedback</w:t>
            </w:r>
          </w:p>
        </w:tc>
      </w:tr>
      <w:tr>
        <w:trPr>
          <w:cantSplit/>
        </w:trPr>
        <w:tc>
          <w:tcPr>
            <w:tcMar>
              <w:top w:w="108" w:type="dxa"/>
              <w:bottom w:w="108" w:type="dxa"/>
            </w:tcMar>
          </w:tcPr>
          <w:p>
            <w:pPr>
              <w:pStyle w:val="BodyText"/>
            </w:pPr>
            <w:pPr>
              <w:spacing w:before="16"/>
            </w:pPr>
            <w:r>
              <w:t xml:space="preserve">These practical sessions have been heavily edited this year. Please take 20 seconds to rate the difficulty and length of these practical activities</w:t>
            </w:r>
            <w:r>
              <w:t xml:space="preserve"> </w:t>
            </w:r>
            <w:hyperlink r:id="rId40">
              <w:r>
                <w:rPr>
                  <w:rStyle w:val="Hyperlink"/>
                </w:rPr>
                <w:t xml:space="preserve">via 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 VLE Discussion Board.</w:t>
            </w:r>
          </w:p>
        </w:tc>
      </w:tr>
    </w:tbl>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2026-01-07T12:18:35Z</dcterms:created>
  <dcterms:modified xsi:type="dcterms:W3CDTF">2026-01-07T12:18:35Z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