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2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difference between variable-centred and person-centred approaches</w:t>
            </w:r>
          </w:p>
          <w:p>
            <w:pPr>
              <w:pStyle w:val="Compact"/>
              <w:numPr>
                <w:ilvl w:val="0"/>
                <w:numId w:val="1001"/>
              </w:numPr>
            </w:pPr>
            <w:r>
              <w:t xml:space="preserve">Explain how categorical latent variables can be used to identify unobserved subpopulations</w:t>
            </w:r>
          </w:p>
          <w:p>
            <w:pPr>
              <w:pStyle w:val="Compact"/>
              <w:numPr>
                <w:ilvl w:val="0"/>
                <w:numId w:val="1001"/>
              </w:numPr>
            </w:pPr>
            <w:r>
              <w:t xml:space="preserve">Fit and compare latent profile models that vary in their constraints and k-classes</w:t>
            </w:r>
          </w:p>
          <w:p>
            <w:pPr>
              <w:pStyle w:val="Compact"/>
              <w:numPr>
                <w:ilvl w:val="0"/>
                <w:numId w:val="1001"/>
              </w:numPr>
            </w:pPr>
            <w:r>
              <w:t xml:space="preserve">Interpret model output to identify subpopulations</w:t>
            </w:r>
          </w:p>
          <w:p>
            <w:pPr>
              <w:pStyle w:val="Compact"/>
              <w:numPr>
                <w:ilvl w:val="0"/>
                <w:numId w:val="1001"/>
              </w:numPr>
            </w:pPr>
            <w:r>
              <w:t xml:space="preserve">Discuss factors that affect the implementation and generalisability of mixture models</w:t>
            </w:r>
          </w:p>
        </w:tc>
      </w:tr>
    </w:tbl>
    <w:p>
      <w:pPr>
        <w:pStyle w:val="FirstParagraph"/>
      </w:pPr>
      <w:r>
        <w:t xml:space="preserve">This week we’ve taken a</w:t>
      </w:r>
      <w:r>
        <w:t xml:space="preserve"> </w:t>
      </w:r>
      <w:r>
        <w:rPr>
          <w:i/>
          <w:iCs/>
        </w:rPr>
        <w:t xml:space="preserve">person-centred</w:t>
      </w:r>
      <w:r>
        <w:t xml:space="preserve"> </w:t>
      </w:r>
      <w:r>
        <w:t xml:space="preserve">approach to analysing data: what can we learn about heterogeneity within the population? In today’s practical, we will continue to use latent profile analysis as our example of mixture modelling—i.e., we will use continuous variables as indicators of different subpopulations. We will start with a built-in dataset of student survey responses, before analysing a dataset of early mathematical skills from a recently published paper.</w:t>
      </w:r>
    </w:p>
    <w:p>
      <w:pPr>
        <w:pStyle w:val="BodyText"/>
      </w:pPr>
      <w:r>
        <w:t xml:space="preserve">We will use the</w:t>
      </w:r>
      <w:r>
        <w:t xml:space="preserve"> </w:t>
      </w:r>
      <w:r>
        <w:rPr>
          <w:i/>
          <w:iCs/>
        </w:rPr>
        <w:t xml:space="preserve">tidyLPA</w:t>
      </w:r>
      <w:r>
        <w:t xml:space="preserve"> </w:t>
      </w:r>
      <w:r>
        <w:t xml:space="preserve">package to fit these models. A nice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 students’ attitudes towards school.</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 (rows in dataset)</w:t>
      </w:r>
      <w:r>
        <w:br/>
      </w:r>
      <w:r>
        <w:rPr>
          <w:rStyle w:val="FunctionTok"/>
        </w:rPr>
        <w:t xml:space="preserve">nrow</w:t>
      </w:r>
      <w:r>
        <w:rPr>
          <w:rStyle w:val="NormalTok"/>
        </w:rPr>
        <w:t xml:space="preserve">(pisa_dat)</w:t>
      </w:r>
      <w:r>
        <w:br/>
      </w:r>
      <w:r>
        <w:br/>
      </w:r>
      <w:r>
        <w:rPr>
          <w:rStyle w:val="CommentTok"/>
        </w:rPr>
        <w:t xml:space="preserve"># Number of variables (columns in dataset)</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3"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classes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as follows to fit 5 different models,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2"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Each row provides fit indices for one of the models you fitted (so five in total, because we increased the number of</w:t>
      </w:r>
      <w:r>
        <w:t xml:space="preserve"> </w:t>
      </w:r>
      <w:r>
        <w:rPr>
          <w:i/>
          <w:iCs/>
        </w:rPr>
        <w:t xml:space="preserve">k</w:t>
      </w:r>
      <w:r>
        <w:t xml:space="preserve"> </w:t>
      </w:r>
      <w:r>
        <w:t xml:space="preserve">classes from 1 to 5).</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w:t>
      </w:r>
      <w:r>
        <w:t xml:space="preserve"> </w:t>
      </w:r>
      <w:hyperlink r:id="rId28">
        <w:r>
          <w:rPr>
            <w:rStyle w:val="Hyperlink"/>
          </w:rPr>
          <w:t xml:space="preserve">vignette</w:t>
        </w:r>
      </w:hyperlink>
      <w:r>
        <w:t xml:space="preserv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to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2"/>
    <w:bookmarkEnd w:id="33"/>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parameters in the output), but gives the model more information for working out the classes. Let’s add in this estimation, but still keep them equal across classes</w:t>
      </w:r>
      <w:r>
        <w:rPr>
          <w:rStyle w:val="FootnoteReference"/>
        </w:rPr>
        <w:footnoteReference w:id="34"/>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Steps 3.2 and 3.3, we identified two candidate models to choose between (one from each specification). The final model to proceed with can be decided based on several factors, including:</w:t>
      </w:r>
    </w:p>
    <w:p>
      <w:pPr>
        <w:pStyle w:val="Compact"/>
        <w:numPr>
          <w:ilvl w:val="0"/>
          <w:numId w:val="1004"/>
        </w:numPr>
      </w:pPr>
      <w:r>
        <w:rPr>
          <w:b/>
          <w:bCs/>
        </w:rPr>
        <w:t xml:space="preserve">Fit indices:</w:t>
      </w:r>
      <w:r>
        <w:t xml:space="preserve"> </w:t>
      </w:r>
      <w:r>
        <w:t xml:space="preserve">Using the same indices we paid attention to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and consider whether they are meaningful (as in Step 3.5). We tend to avoid very small classes unless they are clearly distinct and align with theoretical expectations.</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Choose your preferred model to take forward to the final step. 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By comparison, Class 2 shows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r>
        <w:br/>
      </w:r>
      <w:r>
        <w:br/>
      </w:r>
      <w:r>
        <w:rPr>
          <w:rStyle w:val="CommentTok"/>
        </w:rPr>
        <w:t xml:space="preserve"># Preview dataframe </w:t>
      </w:r>
      <w:r>
        <w:br/>
      </w:r>
      <w:r>
        <w:rPr>
          <w:rStyle w:val="FunctionTok"/>
        </w:rPr>
        <w:t xml:space="preserve">head</w:t>
      </w:r>
      <w:r>
        <w:rPr>
          <w:rStyle w:val="NormalTok"/>
        </w:rPr>
        <w:t xml:space="preserve">(pisa_class_probs)</w:t>
      </w:r>
    </w:p>
    <w:p>
      <w:pPr>
        <w:pStyle w:val="FirstParagraph"/>
      </w:pPr>
      <w:r>
        <w:t xml:space="preserve">You should see that each participant has a probability of being assigned to each of the four classes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 so this uncertainty is perhaps to be expected.</w:t>
      </w:r>
    </w:p>
    <w:p>
      <w:pPr>
        <w:pStyle w:val="BodyText"/>
      </w:pPr>
      <w:r>
        <w:t xml:space="preserve">Finally, you can also use the extracted data to work out the proportion of individuals assigned to each class:</w:t>
      </w:r>
    </w:p>
    <w:p>
      <w:pPr>
        <w:pStyle w:val="SourceCode"/>
      </w:pPr>
      <w:r>
        <w:rPr>
          <w:rStyle w:val="CommentTok"/>
        </w:rPr>
        <w:t xml:space="preserve"># Calculate proportions</w:t>
      </w:r>
      <w:r>
        <w:br/>
      </w:r>
      <w:r>
        <w:rPr>
          <w:rStyle w:val="NormalTok"/>
        </w:rPr>
        <w:t xml:space="preserve">pisa_class_probs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n</w:t>
      </w:r>
      <w:r>
        <w:rPr>
          <w:rStyle w:val="SpecialCharTok"/>
        </w:rPr>
        <w:t xml:space="preserve">/</w:t>
      </w:r>
      <w:r>
        <w:rPr>
          <w:rStyle w:val="FunctionTok"/>
        </w:rPr>
        <w:t xml:space="preserve">nrow</w:t>
      </w:r>
      <w:r>
        <w:rPr>
          <w:rStyle w:val="NormalTok"/>
        </w:rPr>
        <w:t xml:space="preserve">(pisa_class_probs))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w:t>
      </w:r>
      <w:r>
        <w:t xml:space="preserve"> </w:t>
      </w:r>
      <w:r>
        <w:rPr>
          <w:i/>
          <w:iCs/>
        </w:rPr>
        <w:t xml:space="preserve">k</w:t>
      </w:r>
      <w:r>
        <w:t xml:space="preserve">-class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t xml:space="preserve">Today’s practical has already been pretty challenging! If you want to push yourself further, take a look at the</w:t>
      </w:r>
      <w:r>
        <w:t xml:space="preserve"> </w:t>
      </w:r>
      <w:hyperlink r:id="rId28">
        <w:r>
          <w:rPr>
            <w:rStyle w:val="Hyperlink"/>
            <w:i/>
            <w:iCs/>
          </w:rPr>
          <w:t xml:space="preserve">tidyLPA</w:t>
        </w:r>
        <w:r>
          <w:rPr>
            <w:rStyle w:val="Hyperlink"/>
          </w:rPr>
          <w:t xml:space="preserve"> </w:t>
        </w:r>
        <w:r>
          <w:rPr>
            <w:rStyle w:val="Hyperlink"/>
          </w:rPr>
          <w:t xml:space="preserve">vignette</w:t>
        </w:r>
      </w:hyperlink>
      <w:r>
        <w:t xml:space="preserve"> </w:t>
      </w:r>
      <w:r>
        <w:t xml:space="preserve">and see which other model specifications you can fit with the</w:t>
      </w:r>
      <w:r>
        <w:t xml:space="preserve"> </w:t>
      </w:r>
      <w:r>
        <w:rPr>
          <w:i/>
          <w:iCs/>
        </w:rPr>
        <w:t xml:space="preserve">tidyLPA</w:t>
      </w:r>
      <w:r>
        <w:t xml:space="preserve"> </w:t>
      </w:r>
      <w:r>
        <w:t xml:space="preserve">package alone (i.e., using</w:t>
      </w:r>
      <w:r>
        <w:t xml:space="preserve"> </w:t>
      </w:r>
      <w:r>
        <w:rPr>
          <w:i/>
          <w:iCs/>
        </w:rPr>
        <w:t xml:space="preserve">mclust</w:t>
      </w:r>
      <w:r>
        <w:t xml:space="preserve"> </w:t>
      </w:r>
      <w:r>
        <w:t xml:space="preserve">rather than</w:t>
      </w:r>
      <w:r>
        <w:t xml:space="preserve"> </w:t>
      </w:r>
      <w:r>
        <w:rPr>
          <w:i/>
          <w:iCs/>
        </w:rPr>
        <w:t xml:space="preserve">MPlus</w:t>
      </w:r>
      <w:r>
        <w:t xml:space="preserve">). What happens when you try to run them on the datasets that we used today?</w:t>
      </w:r>
    </w:p>
    <w:p>
      <w:r>
        <w:pict>
          <v:rect style="width:0;height:1.5pt" o:hralign="center" o:hrstd="t" o:hr="t"/>
        </w:pict>
      </w:r>
    </w:p>
    <w:bookmarkEnd w:id="50"/>
    <w:bookmarkStart w:id="61" w:name="summary"/>
    <w:p>
      <w:pPr>
        <w:pStyle w:val="Heading1"/>
      </w:pPr>
      <w:r>
        <w:t xml:space="preserve">6. Summary</w:t>
      </w:r>
    </w:p>
    <w:bookmarkStart w:id="51" w:name="recap"/>
    <w:p>
      <w:pPr>
        <w:pStyle w:val="Heading2"/>
      </w:pPr>
      <w:r>
        <w:t xml:space="preserve">6.1 Recap</w:t>
      </w:r>
    </w:p>
    <w:p>
      <w:pPr>
        <w:pStyle w:val="FirstParagraph"/>
      </w:pPr>
      <w:r>
        <w:t xml:space="preserve">Today’s practical showed us an example of a mixture modelling approach in action. We saw how a latent variable with different numbers</w:t>
      </w:r>
      <w:r>
        <w:t xml:space="preserve"> </w:t>
      </w:r>
      <w:r>
        <w:rPr>
          <w:i/>
          <w:iCs/>
        </w:rPr>
        <w:t xml:space="preserve">(k</w:t>
      </w:r>
      <w:r>
        <w:t xml:space="preserve">) of categories can be fitted and compared to identify unobserved subpopulations in the data. We also varied the constraints of the model, and saw how we can use fit statistics to identify the best model that balances precision and parsimony. Finally, we inspected the characteristics of each profile in the final model, and extracted the probabilistic class membership for individuals in the dataset.</w:t>
      </w:r>
    </w:p>
    <w:bookmarkEnd w:id="51"/>
    <w:bookmarkStart w:id="60" w:name="further-learning"/>
    <w:p>
      <w:pPr>
        <w:pStyle w:val="Heading2"/>
      </w:pPr>
      <w:r>
        <w:t xml:space="preserve">6.2 Further learning</w:t>
      </w:r>
    </w:p>
    <w:p>
      <w:pPr>
        <w:pStyle w:val="FirstParagraph"/>
      </w:pPr>
      <w:r>
        <w:t xml:space="preserve">This week’s</w:t>
      </w:r>
      <w:r>
        <w:t xml:space="preserve"> </w:t>
      </w:r>
      <w:hyperlink r:id="rId52">
        <w:r>
          <w:rPr>
            <w:rStyle w:val="Hyperlink"/>
          </w:rPr>
          <w:t xml:space="preserve">core reading</w:t>
        </w:r>
      </w:hyperlink>
      <w:r>
        <w:t xml:space="preserve"> </w:t>
      </w:r>
      <w:r>
        <w:t xml:space="preserve">can be found on the reading list as usual. This is one of—indeed maybe even</w:t>
      </w:r>
      <w:r>
        <w:t xml:space="preserve"> </w:t>
      </w:r>
      <w:r>
        <w:rPr>
          <w:i/>
          <w:iCs/>
        </w:rPr>
        <w:t xml:space="preserve">the</w:t>
      </w:r>
      <w:r>
        <w:t xml:space="preserve">—most complex analyses we will cover in this module, and there’s a great</w:t>
      </w:r>
      <w:r>
        <w:t xml:space="preserve"> </w:t>
      </w:r>
      <w:hyperlink r:id="rId53">
        <w:r>
          <w:rPr>
            <w:rStyle w:val="Hyperlink"/>
          </w:rPr>
          <w:t xml:space="preserve">Quantitude podcast episode</w:t>
        </w:r>
      </w:hyperlink>
      <w:r>
        <w:t xml:space="preserve"> </w:t>
      </w:r>
      <w:r>
        <w:t xml:space="preserve">if you’re struggling to get your head around the main ideas.</w:t>
      </w:r>
    </w:p>
    <w:p>
      <w:pPr>
        <w:pStyle w:val="BodyText"/>
      </w:pPr>
      <w:r>
        <w:t xml:space="preserve">There is also a DataCamp course on</w:t>
      </w:r>
      <w:r>
        <w:t xml:space="preserve"> </w:t>
      </w:r>
      <w:hyperlink r:id="rId54">
        <w:r>
          <w:rPr>
            <w:rStyle w:val="Hyperlink"/>
          </w:rPr>
          <w:t xml:space="preserve">Mixture Models in R</w:t>
        </w:r>
      </w:hyperlink>
      <w:r>
        <w:t xml:space="preserve">. This course uses the</w:t>
      </w:r>
      <w:r>
        <w:t xml:space="preserve"> </w:t>
      </w:r>
      <w:r>
        <w:rPr>
          <w:i/>
          <w:iCs/>
        </w:rPr>
        <w:t xml:space="preserve">flexmix</w:t>
      </w:r>
      <w:r>
        <w:t xml:space="preserve"> </w:t>
      </w:r>
      <w:r>
        <w:t xml:space="preserve">package rather than</w:t>
      </w:r>
      <w:r>
        <w:t xml:space="preserve"> </w:t>
      </w:r>
      <w:r>
        <w:rPr>
          <w:i/>
          <w:iCs/>
        </w:rPr>
        <w:t xml:space="preserve">tidyLPA,</w:t>
      </w:r>
      <w:r>
        <w:t xml:space="preserve"> </w:t>
      </w:r>
      <w:r>
        <w:t xml:space="preserve">which has a slightly steeper learning curve but is more flexible to different types of mixture models. You might want to consider this to build your experience or if you are likely to run this type of analysis in future.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elj504\AppData\Local\Program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9">
              <w:r>
                <w:rPr>
                  <w:rStyle w:val="Hyperlink"/>
                </w:rPr>
                <w:t xml:space="preserve">VLE Discussion Board</w:t>
              </w:r>
            </w:hyperlink>
            <w:r>
              <w:t xml:space="preserve">.</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This represents Model 3 in the</w:t>
      </w:r>
      <w:r>
        <w:t xml:space="preserve"> </w:t>
      </w:r>
      <w:hyperlink r:id="rId28">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2026-03-12T18:54:22Z</dcterms:created>
  <dcterms:modified xsi:type="dcterms:W3CDTF">2026-03-12T18:54:22Z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