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44.png" ContentType="image/png"/>
  <Override PartName="/word/media/rId41.png" ContentType="image/png"/>
  <Override PartName="/word/media/rId29.png" ContentType="image/png"/>
  <Override PartName="/word/media/rId32.png" ContentType="image/png"/>
  <Override PartName="/word/media/rId2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0"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the</w:t>
      </w:r>
    </w:p>
    <w:p>
      <w:r>
        <w:pict>
          <v:rect style="width:0;height:1.5pt" o:hralign="center" o:hrstd="t" o:hr="t"/>
        </w:pict>
      </w:r>
    </w:p>
    <w:bookmarkEnd w:id="20"/>
    <w:bookmarkStart w:id="22" w:name="setting-up"/>
    <w:p>
      <w:pPr>
        <w:pStyle w:val="Heading1"/>
      </w:pPr>
      <w:r>
        <w:t xml:space="preserve">2. Setting up</w:t>
      </w:r>
    </w:p>
    <w:bookmarkStart w:id="21"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(metadat)    </w:t>
      </w:r>
      <w:r>
        <w:rPr>
          <w:rStyle w:val="CommentTok"/>
        </w:rPr>
        <w:t xml:space="preserve"># meta-analytic datasets</w:t>
      </w:r>
    </w:p>
    <w:p>
      <w:pPr>
        <w:pStyle w:val="SourceCode"/>
      </w:pPr>
      <w:r>
        <w:rPr>
          <w:rStyle w:val="VerbatimChar"/>
        </w:rPr>
        <w:t xml:space="preserve">Warning: package 'metadat' was built under R version 4.5.2</w:t>
      </w:r>
    </w:p>
    <w:p>
      <w:pPr>
        <w:pStyle w:val="SourceCode"/>
      </w:pPr>
      <w:r>
        <w:rPr>
          <w:rStyle w:val="FunctionTok"/>
        </w:rPr>
        <w:t xml:space="preserve">library</w:t>
      </w:r>
      <w:r>
        <w:rPr>
          <w:rStyle w:val="NormalTok"/>
        </w:rPr>
        <w:t xml:space="preserve">(metafor)    </w:t>
      </w:r>
      <w:r>
        <w:rPr>
          <w:rStyle w:val="CommentTok"/>
        </w:rPr>
        <w:t xml:space="preserve"># core meta-analysis tools</w:t>
      </w:r>
    </w:p>
    <w:p>
      <w:pPr>
        <w:pStyle w:val="SourceCode"/>
      </w:pPr>
      <w:r>
        <w:rPr>
          <w:rStyle w:val="VerbatimChar"/>
        </w:rPr>
        <w:t xml:space="preserve">Loading required package: Matrix</w:t>
      </w:r>
      <w:r>
        <w:br/>
      </w:r>
      <w:r>
        <w:br/>
      </w:r>
      <w:r>
        <w:rPr>
          <w:rStyle w:val="VerbatimChar"/>
        </w:rPr>
        <w:t xml:space="preserve">Attaching package: 'Matrix'</w:t>
      </w:r>
      <w:r>
        <w:br/>
      </w:r>
      <w:r>
        <w:br/>
      </w:r>
      <w:r>
        <w:rPr>
          <w:rStyle w:val="VerbatimChar"/>
        </w:rPr>
        <w:t xml:space="preserve">The following objects are masked from 'package:tidyr':</w:t>
      </w:r>
      <w:r>
        <w:br/>
      </w:r>
      <w:r>
        <w:br/>
      </w:r>
      <w:r>
        <w:rPr>
          <w:rStyle w:val="VerbatimChar"/>
        </w:rPr>
        <w:t xml:space="preserve">    expand, pack, unpack</w:t>
      </w:r>
      <w:r>
        <w:br/>
      </w:r>
      <w:r>
        <w:br/>
      </w:r>
      <w:r>
        <w:rPr>
          <w:rStyle w:val="VerbatimChar"/>
        </w:rPr>
        <w:t xml:space="preserve">Loading required package: numDeriv</w:t>
      </w:r>
      <w:r>
        <w:br/>
      </w:r>
      <w:r>
        <w:br/>
      </w:r>
      <w:r>
        <w:rPr>
          <w:rStyle w:val="VerbatimChar"/>
        </w:rPr>
        <w:t xml:space="preserve">Loading the 'metafor' package (version 4.8-0). For an</w:t>
      </w:r>
      <w:r>
        <w:br/>
      </w:r>
      <w:r>
        <w:rPr>
          <w:rStyle w:val="VerbatimChar"/>
        </w:rPr>
        <w:t xml:space="preserve">introduction to the package please type: help(metafor)</w:t>
      </w:r>
    </w:p>
    <w:bookmarkEnd w:id="21"/>
    <w:bookmarkEnd w:id="22"/>
    <w:bookmarkStart w:id="51" w:name="part-1-core-example"/>
    <w:p>
      <w:pPr>
        <w:pStyle w:val="Heading1"/>
      </w:pPr>
      <w:r>
        <w:t xml:space="preserve">3. Part 1: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3">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SourceCode"/>
      </w:pPr>
      <w:r>
        <w:rPr>
          <w:rStyle w:val="VerbatimChar"/>
        </w:rPr>
        <w:t xml:space="preserve">starting httpd help server ... done</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drawing>
          <wp:inline>
            <wp:extent cx="4620126" cy="3696101"/>
            <wp:effectExtent b="0" l="0" r="0" t="0"/>
            <wp:docPr descr="" title="" id="25" name="Picture"/>
            <a:graphic>
              <a:graphicData uri="http://schemas.openxmlformats.org/drawingml/2006/picture">
                <pic:pic>
                  <pic:nvPicPr>
                    <pic:cNvPr descr="ambr1_meta-analysis_files/figure-docx/male-only-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6"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35"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drawing>
          <wp:inline>
            <wp:extent cx="4620126" cy="3696101"/>
            <wp:effectExtent b="0" l="0" r="0" t="0"/>
            <wp:docPr descr="" title="" id="30" name="Picture"/>
            <a:graphic>
              <a:graphicData uri="http://schemas.openxmlformats.org/drawingml/2006/picture">
                <pic:pic>
                  <pic:nvPicPr>
                    <pic:cNvPr descr="ambr1_meta-analysis_files/figure-docx/forest-mod-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drawing>
          <wp:inline>
            <wp:extent cx="4620126" cy="3696101"/>
            <wp:effectExtent b="0" l="0" r="0" t="0"/>
            <wp:docPr descr="" title="" id="33" name="Picture"/>
            <a:graphic>
              <a:graphicData uri="http://schemas.openxmlformats.org/drawingml/2006/picture">
                <pic:pic>
                  <pic:nvPicPr>
                    <pic:cNvPr descr="ambr1_meta-analysis_files/figure-docx/forest-mod-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End w:id="35"/>
    <w:bookmarkEnd w:id="36"/>
    <w:bookmarkStart w:id="39"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7"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7"/>
    <w:bookmarkStart w:id="38"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8"/>
    <w:bookmarkEnd w:id="39"/>
    <w:bookmarkStart w:id="50"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40">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p>
    <w:p>
      <w:pPr>
        <w:pStyle w:val="FirstParagraph"/>
      </w:pPr>
      <w:r>
        <w:drawing>
          <wp:inline>
            <wp:extent cx="4620126" cy="3696101"/>
            <wp:effectExtent b="0" l="0" r="0" t="0"/>
            <wp:docPr descr="" title="" id="42" name="Picture"/>
            <a:graphic>
              <a:graphicData uri="http://schemas.openxmlformats.org/drawingml/2006/picture">
                <pic:pic>
                  <pic:nvPicPr>
                    <pic:cNvPr descr="ambr1_meta-analysis_files/figure-docx/bias-female-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regtest</w:t>
      </w:r>
      <w:r>
        <w:rPr>
          <w:rStyle w:val="NormalTok"/>
        </w:rPr>
        <w:t xml:space="preserve">(rr_random_f)</w:t>
      </w:r>
    </w:p>
    <w:p>
      <w:pPr>
        <w:pStyle w:val="SourceCode"/>
      </w:pPr>
      <w:r>
        <w:br/>
      </w:r>
      <w:r>
        <w:rPr>
          <w:rStyle w:val="VerbatimChar"/>
        </w:rPr>
        <w:t xml:space="preserve">Regression Test for Funnel Plot Asymmetry</w:t>
      </w:r>
      <w:r>
        <w:br/>
      </w:r>
      <w:r>
        <w:br/>
      </w:r>
      <w:r>
        <w:rPr>
          <w:rStyle w:val="VerbatimChar"/>
        </w:rPr>
        <w:t xml:space="preserve">Model:     mixed-effects meta-regression model</w:t>
      </w:r>
      <w:r>
        <w:br/>
      </w:r>
      <w:r>
        <w:rPr>
          <w:rStyle w:val="VerbatimChar"/>
        </w:rPr>
        <w:t xml:space="preserve">Predictor: standard error</w:t>
      </w:r>
      <w:r>
        <w:br/>
      </w:r>
      <w:r>
        <w:br/>
      </w:r>
      <w:r>
        <w:rPr>
          <w:rStyle w:val="VerbatimChar"/>
        </w:rPr>
        <w:t xml:space="preserve">Test for Funnel Plot Asymmetry: z =  2.9784, p = 0.0029</w:t>
      </w:r>
      <w:r>
        <w:br/>
      </w:r>
      <w:r>
        <w:rPr>
          <w:rStyle w:val="VerbatimChar"/>
        </w:rPr>
        <w:t xml:space="preserve">Limit Estimate (as sei -&gt; 0):   b = -0.2897 (CI: -0.5806, 0.0012)</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elj504\AppData\Local\Program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r>
              <w:drawing>
                <wp:inline>
                  <wp:extent cx="2162175" cy="1548995"/>
                  <wp:effectExtent b="0" l="0" r="0" t="0"/>
                  <wp:docPr descr="" title="" id="48" name="Picture"/>
                  <a:graphic>
                    <a:graphicData uri="http://schemas.openxmlformats.org/drawingml/2006/picture">
                      <pic:pic>
                        <pic:nvPicPr>
                          <pic:cNvPr descr="images/break.png" id="49" name="Picture"/>
                          <pic:cNvPicPr>
                            <a:picLocks noChangeArrowheads="1" noChangeAspect="1"/>
                          </pic:cNvPicPr>
                        </pic:nvPicPr>
                        <pic:blipFill>
                          <a:blip r:embed="rId47"/>
                          <a:stretch>
                            <a:fillRect/>
                          </a:stretch>
                        </pic:blipFill>
                        <pic:spPr bwMode="auto">
                          <a:xfrm>
                            <a:off x="0" y="0"/>
                            <a:ext cx="2162175" cy="1548995"/>
                          </a:xfrm>
                          <a:prstGeom prst="rect">
                            <a:avLst/>
                          </a:prstGeom>
                          <a:noFill/>
                          <a:ln w="9525">
                            <a:noFill/>
                            <a:headEnd/>
                            <a:tailEnd/>
                          </a:ln>
                        </pic:spPr>
                      </pic:pic>
                    </a:graphicData>
                  </a:graphic>
                </wp:inline>
              </w:drawing>
            </w:r>
          </w:p>
          <w:p>
            <w:pPr>
              <w:pStyle w:val="BodyText"/>
            </w:pPr>
            <w:pPr>
              <w:spacing w:after="16"/>
            </w:pPr>
            <w:r>
              <w:t xml:space="preserve">Continue onto Part 2 when you are ready.</w:t>
            </w:r>
          </w:p>
        </w:tc>
      </w:tr>
    </w:tbl>
    <w:p>
      <w:r>
        <w:pict>
          <v:rect style="width:0;height:1.5pt" o:hralign="center" o:hrstd="t" o:hr="t"/>
        </w:pict>
      </w:r>
    </w:p>
    <w:bookmarkEnd w:id="50"/>
    <w:bookmarkEnd w:id="51"/>
    <w:bookmarkStart w:id="60" w:name="part-2-apply-your-knowledge"/>
    <w:p>
      <w:pPr>
        <w:pStyle w:val="Heading1"/>
      </w:pPr>
      <w:r>
        <w:t xml:space="preserve">4. Part 2: Apply your knowledge</w:t>
      </w:r>
    </w:p>
    <w:bookmarkStart w:id="53" w:name="introduction-to-the-dataset-1"/>
    <w:p>
      <w:pPr>
        <w:pStyle w:val="Heading2"/>
      </w:pPr>
      <w:r>
        <w:t xml:space="preserve">4.1 Introduction to the dataset</w:t>
      </w:r>
    </w:p>
    <w:p>
      <w:pPr>
        <w:pStyle w:val="FirstParagraph"/>
      </w:pPr>
      <w:r>
        <w:t xml:space="preserve">Let’s jump in with a new dataset! This time around we will use a recently published meta-analysis that examined the relationship between procedural learning and reading ability (</w:t>
      </w:r>
      <w:hyperlink r:id="rId52">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53"/>
    <w:bookmarkStart w:id="56"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54">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55">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Use Appendix 1 of the paper to replace the NAs below with the relevant numbers, and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56"/>
    <w:bookmarkStart w:id="57"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57"/>
    <w:bookmarkStart w:id="58"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w:t>
      </w:r>
    </w:p>
    <w:p>
      <w:pPr>
        <w:pStyle w:val="Compact"/>
        <w:numPr>
          <w:ilvl w:val="0"/>
          <w:numId w:val="1005"/>
        </w:numPr>
      </w:pPr>
      <w:r>
        <w:t xml:space="preserve">Evaluate evidence for publication bias</w:t>
      </w:r>
    </w:p>
    <w:bookmarkEnd w:id="58"/>
    <w:bookmarkStart w:id="59" w:name="challenge-yourself-further"/>
    <w:p>
      <w:pPr>
        <w:pStyle w:val="Heading2"/>
      </w:pPr>
      <w:r>
        <w:t xml:space="preserve">4.5 Challenge yourself further</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You can look at the help files or use Google to find out how to include this extra predictor.</w:t>
      </w:r>
    </w:p>
    <w:bookmarkEnd w:id="59"/>
    <w:bookmarkEnd w:id="60"/>
    <w:bookmarkStart w:id="71" w:name="summary"/>
    <w:p>
      <w:pPr>
        <w:pStyle w:val="Heading1"/>
      </w:pPr>
      <w:r>
        <w:t xml:space="preserve">5. Summary</w:t>
      </w:r>
    </w:p>
    <w:bookmarkStart w:id="62" w:name="recap"/>
    <w:p>
      <w:pPr>
        <w:pStyle w:val="Heading2"/>
      </w:pPr>
      <w:r>
        <w:t xml:space="preserve">5.1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our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52">
        <w:r>
          <w:rPr>
            <w:rStyle w:val="Hyperlink"/>
          </w:rPr>
          <w:t xml:space="preserve">access the full paper here</w:t>
        </w:r>
      </w:hyperlink>
      <w:r>
        <w:t xml:space="preserve"> </w:t>
      </w:r>
      <w:r>
        <w:t xml:space="preserve">or</w:t>
      </w:r>
      <w:r>
        <w:t xml:space="preserve"> </w:t>
      </w:r>
      <w:hyperlink r:id="rId61">
        <w:r>
          <w:rPr>
            <w:rStyle w:val="Hyperlink"/>
          </w:rPr>
          <w:t xml:space="preserve">download the full dataset and analysis scripts</w:t>
        </w:r>
      </w:hyperlink>
      <w:r>
        <w:t xml:space="preserve">.</w:t>
      </w:r>
    </w:p>
    <w:bookmarkEnd w:id="62"/>
    <w:bookmarkStart w:id="70" w:name="further-learning"/>
    <w:p>
      <w:pPr>
        <w:pStyle w:val="Heading2"/>
      </w:pPr>
      <w:r>
        <w:t xml:space="preserve">5.2 Further learning</w:t>
      </w:r>
    </w:p>
    <w:p>
      <w:pPr>
        <w:pStyle w:val="FirstParagraph"/>
      </w:pPr>
      <w:r>
        <w:t xml:space="preserve">Make sure that you have completed the</w:t>
      </w:r>
      <w:r>
        <w:t xml:space="preserve"> </w:t>
      </w:r>
      <w:hyperlink r:id="rId63">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64">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elj504\AppData\Local\Programs\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9">
              <w:r>
                <w:rPr>
                  <w:rStyle w:val="Hyperlink"/>
                </w:rPr>
                <w:t xml:space="preserve">VLE Discussion Board</w:t>
              </w:r>
            </w:hyperlink>
            <w:r>
              <w:t xml:space="preserve">.</w:t>
            </w:r>
          </w:p>
        </w:tc>
      </w:tr>
    </w:tbl>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47" Target="media/rId47.png" /><Relationship Type="http://schemas.openxmlformats.org/officeDocument/2006/relationships/hyperlink" Id="rId64" Target="https://bookdown.org/MathiasHarrer/Doing_Meta_Analysis_in_R/" TargetMode="External" /><Relationship Type="http://schemas.openxmlformats.org/officeDocument/2006/relationships/hyperlink" Id="rId68" Target="https://docs.google.com/forms/d/e/1FAIpQLSepox6r76dAkSDZRxybJwCvRX28M7BS1_81fGMybkqsvBPvRA/viewform?usp=publish-editor" TargetMode="External" /><Relationship Type="http://schemas.openxmlformats.org/officeDocument/2006/relationships/hyperlink" Id="rId63" Target="https://eu.alma.exlibrisgroup.com/leganto/public/44YORK_INST/lists/60979364670001381?auth=SAML" TargetMode="External" /><Relationship Type="http://schemas.openxmlformats.org/officeDocument/2006/relationships/hyperlink" Id="rId23" Target="https://journals.sagepub.com/doi/10.1177/1474704918802412" TargetMode="External" /><Relationship Type="http://schemas.openxmlformats.org/officeDocument/2006/relationships/hyperlink" Id="rId55" Target="https://onlinelibrary.wiley.com/doi/full/10.1002/dys.1678" TargetMode="External" /><Relationship Type="http://schemas.openxmlformats.org/officeDocument/2006/relationships/hyperlink" Id="rId52" Target="https://onlinelibrary.wiley.com/doi/full/10.1111/cogs.13310" TargetMode="External" /><Relationship Type="http://schemas.openxmlformats.org/officeDocument/2006/relationships/hyperlink" Id="rId61" Target="https://osf.io/ev2xw/" TargetMode="External" /><Relationship Type="http://schemas.openxmlformats.org/officeDocument/2006/relationships/hyperlink" Id="rId54" Target="https://osf.io/ev2xw/overview" TargetMode="External" /><Relationship Type="http://schemas.openxmlformats.org/officeDocument/2006/relationships/hyperlink" Id="rId69" Target="https://vle.york.ac.uk/ultra/courses/_116420_1/engagement/discussion/_6408724_1?view=discussions&amp;disGroupId=default&amp;courseId=_116420_1" TargetMode="External" /><Relationship Type="http://schemas.openxmlformats.org/officeDocument/2006/relationships/hyperlink" Id="rId40"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64" Target="https://bookdown.org/MathiasHarrer/Doing_Meta_Analysis_in_R/" TargetMode="External" /><Relationship Type="http://schemas.openxmlformats.org/officeDocument/2006/relationships/hyperlink" Id="rId68" Target="https://docs.google.com/forms/d/e/1FAIpQLSepox6r76dAkSDZRxybJwCvRX28M7BS1_81fGMybkqsvBPvRA/viewform?usp=publish-editor" TargetMode="External" /><Relationship Type="http://schemas.openxmlformats.org/officeDocument/2006/relationships/hyperlink" Id="rId63" Target="https://eu.alma.exlibrisgroup.com/leganto/public/44YORK_INST/lists/60979364670001381?auth=SAML" TargetMode="External" /><Relationship Type="http://schemas.openxmlformats.org/officeDocument/2006/relationships/hyperlink" Id="rId23" Target="https://journals.sagepub.com/doi/10.1177/1474704918802412" TargetMode="External" /><Relationship Type="http://schemas.openxmlformats.org/officeDocument/2006/relationships/hyperlink" Id="rId55" Target="https://onlinelibrary.wiley.com/doi/full/10.1002/dys.1678" TargetMode="External" /><Relationship Type="http://schemas.openxmlformats.org/officeDocument/2006/relationships/hyperlink" Id="rId52" Target="https://onlinelibrary.wiley.com/doi/full/10.1111/cogs.13310" TargetMode="External" /><Relationship Type="http://schemas.openxmlformats.org/officeDocument/2006/relationships/hyperlink" Id="rId61" Target="https://osf.io/ev2xw/" TargetMode="External" /><Relationship Type="http://schemas.openxmlformats.org/officeDocument/2006/relationships/hyperlink" Id="rId54" Target="https://osf.io/ev2xw/overview" TargetMode="External" /><Relationship Type="http://schemas.openxmlformats.org/officeDocument/2006/relationships/hyperlink" Id="rId69" Target="https://vle.york.ac.uk/ultra/courses/_116420_1/engagement/discussion/_6408724_1?view=discussions&amp;disGroupId=default&amp;courseId=_116420_1" TargetMode="External" /><Relationship Type="http://schemas.openxmlformats.org/officeDocument/2006/relationships/hyperlink" Id="rId40"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2026-01-16T18:05:58Z</dcterms:created>
  <dcterms:modified xsi:type="dcterms:W3CDTF">2026-01-16T18:05:58Z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