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 Meta-analysis</w:t>
      </w:r>
    </w:p>
    <w:p>
      <w:pPr>
        <w:pStyle w:val="Author"/>
      </w:pPr>
      <w:r>
        <w:t xml:space="preserve">Emma James</w:t>
      </w:r>
    </w:p>
    <w:bookmarkStart w:id="20" w:name="introduction"/>
    <w:p>
      <w:pPr>
        <w:pStyle w:val="Heading1"/>
      </w:pPr>
      <w:r>
        <w:t xml:space="preserve">1. Introduction</w:t>
      </w:r>
    </w:p>
    <w:p>
      <w:pPr>
        <w:pStyle w:val="FirstParagraph"/>
      </w:pPr>
      <w:r>
        <w:t xml:space="preserve">The aim of this week’s practical is to walk through some of the key steps involved in conducting a meta-analysis. As a basis for this, we will use a recently published meta-analysis that examined the relationship between procedural learning and reading ability.</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A meta-analysis provides a valuable way of summarising this evidence. This meta-analysis was conducted by a former PhD student at York, Dr Catia Oliveira, together with Professor Lisa Henderson and Dr Emma Hayiou-Thomas. We will use part of their dataset to showcase different steps in conducting a meta-analysis.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Identify and extract effect sizes for pooling.</w:t>
            </w:r>
          </w:p>
          <w:p>
            <w:pPr>
              <w:pStyle w:val="Compact"/>
              <w:numPr>
                <w:ilvl w:val="0"/>
                <w:numId w:val="1001"/>
              </w:numPr>
            </w:pPr>
            <w:r>
              <w:t xml:space="preserve">Calculate pooled effect sizes via fixed and random effects meta-analyses.</w:t>
            </w:r>
          </w:p>
          <w:p>
            <w:pPr>
              <w:pStyle w:val="Compact"/>
              <w:numPr>
                <w:ilvl w:val="0"/>
                <w:numId w:val="1001"/>
              </w:numPr>
            </w:pPr>
            <w:r>
              <w:t xml:space="preserve">Use sample size to weight studies in a meta-analysis.</w:t>
            </w:r>
          </w:p>
          <w:p>
            <w:pPr>
              <w:pStyle w:val="Compact"/>
              <w:numPr>
                <w:ilvl w:val="0"/>
                <w:numId w:val="1001"/>
              </w:numPr>
            </w:pPr>
            <w:r>
              <w:t xml:space="preserve">Produce a forest plot to display effect sizes.</w:t>
            </w:r>
          </w:p>
          <w:p>
            <w:pPr>
              <w:pStyle w:val="Compact"/>
              <w:numPr>
                <w:ilvl w:val="0"/>
                <w:numId w:val="1001"/>
              </w:numPr>
            </w:pPr>
            <w:r>
              <w:t xml:space="preserve">Produce a funnel plot to inspect for publication bias.</w:t>
            </w:r>
          </w:p>
        </w:tc>
      </w:tr>
    </w:tbl>
    <w:p>
      <w:r>
        <w:pict>
          <v:rect style="width:0;height:1.5pt" o:hralign="center" o:hrstd="t" o:hr="t"/>
        </w:pict>
      </w:r>
    </w:p>
    <w:bookmarkEnd w:id="20"/>
    <w:bookmarkStart w:id="26" w:name="effect-sizes"/>
    <w:p>
      <w:pPr>
        <w:pStyle w:val="Heading1"/>
      </w:pPr>
      <w:r>
        <w:t xml:space="preserve">2. Effect sizes</w:t>
      </w:r>
    </w:p>
    <w:bookmarkStart w:id="23" w:name="extract-effect-sizes"/>
    <w:p>
      <w:pPr>
        <w:pStyle w:val="Heading2"/>
      </w:pPr>
      <w:r>
        <w:t xml:space="preserve">2.1 Extract effect sizes</w:t>
      </w:r>
    </w:p>
    <w:p>
      <w:pPr>
        <w:pStyle w:val="FirstParagraph"/>
      </w:pPr>
      <w:r>
        <w:t xml:space="preserve">In this week’s practical section on the VLE, you should find a file named</w:t>
      </w:r>
      <w:r>
        <w:t xml:space="preserve"> </w:t>
      </w:r>
      <w:r>
        <w:rPr>
          <w:b/>
          <w:bCs/>
        </w:rPr>
        <w:t xml:space="preserve">ambr1_srt_gaps.csv.</w:t>
      </w:r>
      <w:r>
        <w:t xml:space="preserve"> </w:t>
      </w:r>
      <w:r>
        <w:t xml:space="preserve">Download this file and save it in your data folder.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 set-up steps outlined in</w:t>
            </w:r>
            <w:r>
              <w:t xml:space="preserve"> </w:t>
            </w:r>
            <w:r>
              <w:rPr>
                <w:b/>
                <w:bCs/>
              </w:rPr>
              <w:t xml:space="preserve">0_SetUp.pdf</w:t>
            </w:r>
            <w:r>
              <w:t xml:space="preserve"> </w:t>
            </w:r>
            <w:r>
              <w:t xml:space="preserve">from Week 1.</w:t>
            </w:r>
          </w:p>
        </w:tc>
      </w:tr>
    </w:tbl>
    <w:p>
      <w:pPr>
        <w:pStyle w:val="BodyText"/>
      </w:pPr>
      <w:r>
        <w:t xml:space="preserve">Open this file in Excel to start with. This is a stripped back version of the published meta-analysis. You can see that we have the following columns:</w:t>
      </w:r>
    </w:p>
    <w:p>
      <w:pPr>
        <w:pStyle w:val="Compact"/>
        <w:numPr>
          <w:ilvl w:val="0"/>
          <w:numId w:val="1002"/>
        </w:numPr>
      </w:pPr>
      <w:r>
        <w:rPr>
          <w:b/>
          <w:bCs/>
        </w:rPr>
        <w:t xml:space="preserve">Study:</w:t>
      </w:r>
      <w:r>
        <w:t xml:space="preserve"> </w:t>
      </w:r>
      <w:r>
        <w:t xml:space="preserve">the authors and year of publication</w:t>
      </w:r>
    </w:p>
    <w:p>
      <w:pPr>
        <w:pStyle w:val="Compact"/>
        <w:numPr>
          <w:ilvl w:val="0"/>
          <w:numId w:val="1002"/>
        </w:numPr>
      </w:pPr>
      <w:r>
        <w:rPr>
          <w:b/>
          <w:bCs/>
        </w:rPr>
        <w:t xml:space="preserve">N:</w:t>
      </w:r>
      <w:r>
        <w:t xml:space="preserve"> </w:t>
      </w:r>
      <w:r>
        <w:t xml:space="preserve">the sample size</w:t>
      </w:r>
    </w:p>
    <w:p>
      <w:pPr>
        <w:pStyle w:val="Compact"/>
        <w:numPr>
          <w:ilvl w:val="0"/>
          <w:numId w:val="1002"/>
        </w:numPr>
      </w:pPr>
      <w:r>
        <w:rPr>
          <w:b/>
          <w:bCs/>
        </w:rPr>
        <w:t xml:space="preserve">Age:</w:t>
      </w:r>
      <w:r>
        <w:t xml:space="preserve"> </w:t>
      </w:r>
      <w:r>
        <w:t xml:space="preserve">the average age of the sample</w:t>
      </w:r>
    </w:p>
    <w:p>
      <w:pPr>
        <w:pStyle w:val="Compact"/>
        <w:numPr>
          <w:ilvl w:val="0"/>
          <w:numId w:val="1002"/>
        </w:numPr>
      </w:pPr>
      <w:r>
        <w:rPr>
          <w:b/>
          <w:bCs/>
        </w:rPr>
        <w:t xml:space="preserve">Task:</w:t>
      </w:r>
      <w:r>
        <w:t xml:space="preserve"> </w:t>
      </w:r>
      <w:r>
        <w:t xml:space="preserve">the reading task administered</w:t>
      </w:r>
    </w:p>
    <w:p>
      <w:pPr>
        <w:pStyle w:val="Compact"/>
        <w:numPr>
          <w:ilvl w:val="0"/>
          <w:numId w:val="1002"/>
        </w:numPr>
      </w:pPr>
      <w:r>
        <w:rPr>
          <w:b/>
          <w:bCs/>
        </w:rPr>
        <w:t xml:space="preserve">Group:</w:t>
      </w:r>
      <w:r>
        <w:t xml:space="preserve"> </w:t>
      </w:r>
      <w:r>
        <w:t xml:space="preserve">whether the participants had developmental dyslexia (DD) or not (TD)</w:t>
      </w:r>
    </w:p>
    <w:p>
      <w:pPr>
        <w:pStyle w:val="Compact"/>
        <w:numPr>
          <w:ilvl w:val="0"/>
          <w:numId w:val="1002"/>
        </w:numPr>
      </w:pPr>
      <w:r>
        <w:rPr>
          <w:b/>
          <w:bCs/>
        </w:rPr>
        <w:t xml:space="preserve">Cor:</w:t>
      </w:r>
      <w:r>
        <w:t xml:space="preserve"> </w:t>
      </w:r>
      <w:r>
        <w:t xml:space="preserve">the correlation coefficient,</w:t>
      </w:r>
      <w:r>
        <w:t xml:space="preserve"> </w:t>
      </w:r>
      <w:r>
        <w:rPr>
          <w:i/>
          <w:iCs/>
        </w:rPr>
        <w:t xml:space="preserve">r</w:t>
      </w:r>
    </w:p>
    <w:p>
      <w:pPr>
        <w:pStyle w:val="FirstParagraph"/>
      </w:pPr>
      <w:r>
        <w:t xml:space="preserve">You will see that a few cells are blank. We need to extract this information from the relevant papers before we begin! Inspect the following papers to fill in the missing sample sizes and correlation coefficients:</w:t>
      </w:r>
    </w:p>
    <w:p>
      <w:pPr>
        <w:pStyle w:val="Compact"/>
        <w:numPr>
          <w:ilvl w:val="0"/>
          <w:numId w:val="1003"/>
        </w:numPr>
      </w:pPr>
      <w:hyperlink r:id="rId21">
        <w:r>
          <w:rPr>
            <w:rStyle w:val="Hyperlink"/>
          </w:rPr>
          <w:t xml:space="preserve">Clark &amp; Lum (2017)</w:t>
        </w:r>
      </w:hyperlink>
      <w:r>
        <w:t xml:space="preserve">.</w:t>
      </w:r>
      <w:r>
        <w:t xml:space="preserve"> </w:t>
      </w:r>
      <w:r>
        <w:rPr>
          <w:i/>
          <w:iCs/>
        </w:rPr>
        <w:t xml:space="preserve">(Hint: Inspect Table 3. You want to know the correlation between the procedural learning (SRTT) and nonword (phonemic decoding efficiency) tasks.)</w:t>
      </w:r>
    </w:p>
    <w:p>
      <w:pPr>
        <w:pStyle w:val="Compact"/>
        <w:numPr>
          <w:ilvl w:val="0"/>
          <w:numId w:val="1003"/>
        </w:numPr>
      </w:pPr>
      <w:hyperlink r:id="rId22">
        <w:r>
          <w:rPr>
            <w:rStyle w:val="Hyperlink"/>
          </w:rPr>
          <w:t xml:space="preserve">Schmalz et al. (2021)</w:t>
        </w:r>
      </w:hyperlink>
      <w:r>
        <w:t xml:space="preserve">.</w:t>
      </w:r>
      <w:r>
        <w:t xml:space="preserve"> </w:t>
      </w:r>
      <w:r>
        <w:rPr>
          <w:i/>
          <w:iCs/>
        </w:rPr>
        <w:t xml:space="preserve">(Hint: Inspect Table 2. The correlations in the meta-analysis reflect each of the word reading and pseudoword reading measures with the SRTT difference)</w:t>
      </w:r>
    </w:p>
    <w:p>
      <w:pPr>
        <w:pStyle w:val="FirstParagraph"/>
      </w:pPr>
      <w:r>
        <w:t xml:space="preserve">Make sure you check carefully that all cells of the table are filled before proceeding. Then save your new version of the file as</w:t>
      </w:r>
      <w:r>
        <w:t xml:space="preserve"> </w:t>
      </w:r>
      <w:r>
        <w:rPr>
          <w:b/>
          <w:bCs/>
        </w:rPr>
        <w:t xml:space="preserve">ambr1_srt_complete.csv</w:t>
      </w:r>
      <w:r>
        <w:t xml:space="preserve"> </w:t>
      </w:r>
      <w:r>
        <w:t xml:space="preserve">in the same data folder.</w:t>
      </w:r>
    </w:p>
    <w:bookmarkEnd w:id="23"/>
    <w:bookmarkStart w:id="24" w:name="setting-up-in-rstudio"/>
    <w:p>
      <w:pPr>
        <w:pStyle w:val="Heading2"/>
      </w:pPr>
      <w:r>
        <w:t xml:space="preserve">2.2 Setting up in RStudio</w:t>
      </w:r>
    </w:p>
    <w:p>
      <w:pPr>
        <w:pStyle w:val="FirstParagraph"/>
      </w:pPr>
      <w:r>
        <w:t xml:space="preserve">Now we have extracted information from our identified studies, let’s load the data into R. In your ARM_Practicals folder, double click the ARM_Practicals.Rproj file to open it in RStudio.</w:t>
      </w:r>
    </w:p>
    <w:p>
      <w:pPr>
        <w:pStyle w:val="BodyText"/>
      </w:pPr>
      <w:r>
        <w:t xml:space="preserve">Create a new R script (using the button at the top-left of your window), and save it as</w:t>
      </w:r>
      <w:r>
        <w:t xml:space="preserve"> </w:t>
      </w:r>
      <w:r>
        <w:rPr>
          <w:b/>
          <w:bCs/>
        </w:rPr>
        <w:t xml:space="preserve">ARM2_meta-analysis.R</w:t>
      </w:r>
      <w:r>
        <w:t xml:space="preserve"> </w:t>
      </w:r>
      <w:r>
        <w:t xml:space="preserve">in your scripts folder.</w:t>
      </w:r>
    </w:p>
    <w:p>
      <w:pPr>
        <w:pStyle w:val="BodyText"/>
      </w:pPr>
      <w:r>
        <w:t xml:space="preserve">Let’s start by loading the necessary packages for today’s exercises. You will need to first install the</w:t>
      </w:r>
      <w:r>
        <w:t xml:space="preserve"> </w:t>
      </w:r>
      <w:r>
        <w:rPr>
          <w:i/>
          <w:iCs/>
        </w:rPr>
        <w:t xml:space="preserve">metafor</w:t>
      </w:r>
      <w:r>
        <w:t xml:space="preserve"> </w:t>
      </w:r>
      <w:r>
        <w:t xml:space="preserve">package for meta-analysis by running</w:t>
      </w:r>
      <w:r>
        <w:t xml:space="preserve"> </w:t>
      </w:r>
      <w:r>
        <w:rPr>
          <w:rStyle w:val="VerbatimChar"/>
        </w:rPr>
        <w:t xml:space="preserve">install.packages("metafor")</w:t>
      </w:r>
      <w:r>
        <w:t xml:space="preserve">. You should only need to run this once on any device, so you don’t need to add this to your script. We will also be using the</w:t>
      </w:r>
      <w:r>
        <w:t xml:space="preserve"> </w:t>
      </w:r>
      <w:r>
        <w:rPr>
          <w:i/>
          <w:iCs/>
        </w:rPr>
        <w:t xml:space="preserve">tidyverse</w:t>
      </w:r>
      <w:r>
        <w:t xml:space="preserve"> </w:t>
      </w:r>
      <w:r>
        <w:t xml:space="preserve">package. This is already installed on university machines, but you might need to install it in the same way if you are working on a personal device.</w:t>
      </w:r>
    </w:p>
    <w:p>
      <w:pPr>
        <w:pStyle w:val="BodyText"/>
      </w:pPr>
      <w:r>
        <w:t xml:space="preserve">Once you’ve installed the packages, add the following lines to the top of your script and run them to load the necessary packages for today.</w:t>
      </w:r>
    </w:p>
    <w:p>
      <w:pPr>
        <w:pStyle w:val="SourceCode"/>
      </w:pP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for data cleaning</w:t>
      </w:r>
      <w:r>
        <w:br/>
      </w:r>
      <w:r>
        <w:rPr>
          <w:rStyle w:val="FunctionTok"/>
        </w:rPr>
        <w:t xml:space="preserve">library</w:t>
      </w:r>
      <w:r>
        <w:rPr>
          <w:rStyle w:val="NormalTok"/>
        </w:rPr>
        <w:t xml:space="preserve">(metafor)   </w:t>
      </w:r>
      <w:r>
        <w:rPr>
          <w:rStyle w:val="CommentTok"/>
        </w:rPr>
        <w:t xml:space="preserve"># for meta-analysis</w:t>
      </w:r>
    </w:p>
    <w:p>
      <w:pPr>
        <w:pStyle w:val="FirstParagraph"/>
      </w:pPr>
      <w:r>
        <w:t xml:space="preserve">The next step is to load the data into R. If you have opened your R project and have saved the data in the data folder, you should be able to load it in as follows.</w:t>
      </w:r>
    </w:p>
    <w:p>
      <w:pPr>
        <w:pStyle w:val="SourceCode"/>
      </w:pPr>
      <w:r>
        <w:rPr>
          <w:rStyle w:val="CommentTok"/>
        </w:rPr>
        <w:t xml:space="preserve"># Read in extracted effect sizes and study info</w:t>
      </w:r>
      <w:r>
        <w:br/>
      </w:r>
      <w:r>
        <w:rPr>
          <w:rStyle w:val="NormalTok"/>
        </w:rPr>
        <w:t xml:space="preserve">full_dat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"./data/ambr1_srt_complete.csv"</w:t>
      </w:r>
      <w:r>
        <w:rPr>
          <w:rStyle w:val="NormalTok"/>
        </w:rPr>
        <w:t xml:space="preserve">)</w:t>
      </w:r>
    </w:p>
    <w:p>
      <w:pPr>
        <w:pStyle w:val="FirstParagraph"/>
      </w:pPr>
      <w:r>
        <w:t xml:space="preserve">The dataset includes studies of people with dyslexia as well as those without reading difficulties. Let’s start by focusing just on those individuals without reading difficulties. We can do this using the</w:t>
      </w:r>
      <w:r>
        <w:t xml:space="preserve"> </w:t>
      </w:r>
      <w:r>
        <w:rPr>
          <w:rStyle w:val="VerbatimChar"/>
        </w:rPr>
        <w:t xml:space="preserve">filter()</w:t>
      </w:r>
      <w:r>
        <w:t xml:space="preserve"> </w:t>
      </w:r>
      <w:r>
        <w:t xml:space="preserve">function from the</w:t>
      </w:r>
      <w:r>
        <w:t xml:space="preserve"> </w:t>
      </w:r>
      <w:r>
        <w:rPr>
          <w:i/>
          <w:iCs/>
        </w:rPr>
        <w:t xml:space="preserve">tidyverse</w:t>
      </w:r>
      <w:r>
        <w:t xml:space="preserve"> </w:t>
      </w:r>
      <w:r>
        <w:t xml:space="preserve">package that we loaded above. We tell R to filter (or subset) the dataset to keep the rows where the</w:t>
      </w:r>
      <w:r>
        <w:t xml:space="preserve"> </w:t>
      </w:r>
      <w:r>
        <w:rPr>
          <w:rStyle w:val="VerbatimChar"/>
        </w:rPr>
        <w:t xml:space="preserve">Group</w:t>
      </w:r>
      <w:r>
        <w:t xml:space="preserve"> </w:t>
      </w:r>
      <w:r>
        <w:t xml:space="preserve">column is listed as</w:t>
      </w:r>
      <w:r>
        <w:t xml:space="preserve"> </w:t>
      </w:r>
      <w:r>
        <w:t xml:space="preserve">“TD”</w:t>
      </w:r>
      <w:r>
        <w:t xml:space="preserve">, and store the result as</w:t>
      </w:r>
      <w:r>
        <w:t xml:space="preserve"> </w:t>
      </w:r>
      <w:r>
        <w:rPr>
          <w:rStyle w:val="VerbatimChar"/>
        </w:rPr>
        <w:t xml:space="preserve">td_dat</w:t>
      </w:r>
      <w:r>
        <w:t xml:space="preserve">.</w:t>
      </w:r>
    </w:p>
    <w:p>
      <w:pPr>
        <w:pStyle w:val="SourceCode"/>
      </w:pPr>
      <w:r>
        <w:rPr>
          <w:rStyle w:val="NormalTok"/>
        </w:rPr>
        <w:t xml:space="preserve">td_dat </w:t>
      </w:r>
      <w:r>
        <w:rPr>
          <w:rStyle w:val="OtherTok"/>
        </w:rPr>
        <w:t xml:space="preserve">&lt;-</w:t>
      </w:r>
      <w:r>
        <w:rPr>
          <w:rStyle w:val="NormalTok"/>
        </w:rPr>
        <w:t xml:space="preserve"> </w:t>
      </w:r>
      <w:r>
        <w:rPr>
          <w:rStyle w:val="FunctionTok"/>
        </w:rPr>
        <w:t xml:space="preserve">filter</w:t>
      </w:r>
      <w:r>
        <w:rPr>
          <w:rStyle w:val="NormalTok"/>
        </w:rPr>
        <w:t xml:space="preserve">(full_dat, Group </w:t>
      </w:r>
      <w:r>
        <w:rPr>
          <w:rStyle w:val="SpecialCharTok"/>
        </w:rPr>
        <w:t xml:space="preserve">==</w:t>
      </w:r>
      <w:r>
        <w:rPr>
          <w:rStyle w:val="NormalTok"/>
        </w:rPr>
        <w:t xml:space="preserve"> </w:t>
      </w:r>
      <w:r>
        <w:rPr>
          <w:rStyle w:val="StringTok"/>
        </w:rPr>
        <w:t xml:space="preserve">"TD"</w:t>
      </w:r>
      <w:r>
        <w:rPr>
          <w:rStyle w:val="NormalTok"/>
        </w:rPr>
        <w:t xml:space="preserve">)</w:t>
      </w:r>
    </w:p>
    <w:bookmarkEnd w:id="24"/>
    <w:bookmarkStart w:id="25" w:name="compute-sampling-variance"/>
    <w:p>
      <w:pPr>
        <w:pStyle w:val="Heading2"/>
      </w:pPr>
      <w:r>
        <w:t xml:space="preserve">2.3 Compute sampling variance</w:t>
      </w:r>
    </w:p>
    <w:p>
      <w:pPr>
        <w:pStyle w:val="FirstParagraph"/>
      </w:pPr>
      <w:r>
        <w:t xml:space="preserve">We already have a correlation coefficient for each study, which is our effect size for this meta-analysis. It quantifies the direction and strength of relationship between SRT task performance and reading ability. However, some of the studies has much larger sample sizes than others. Use the</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functions to identify the smallest and largest sample sizes (</w:t>
      </w:r>
      <w:r>
        <w:rPr>
          <w:rStyle w:val="VerbatimChar"/>
        </w:rPr>
        <w:t xml:space="preserve">N</w:t>
      </w:r>
      <w:r>
        <w:t xml:space="preserve">) in the dataset. Remember, you can call e.g.,</w:t>
      </w:r>
      <w:r>
        <w:t xml:space="preserve"> </w:t>
      </w:r>
      <w:r>
        <w:rPr>
          <w:rStyle w:val="VerbatimChar"/>
        </w:rPr>
        <w:t xml:space="preserve">help(min)</w:t>
      </w:r>
      <w:r>
        <w:t xml:space="preserve"> </w:t>
      </w:r>
      <w:r>
        <w:t xml:space="preserve">to remind you how these functions work.</w:t>
      </w:r>
    </w:p>
    <w:p>
      <w:pPr>
        <w:pStyle w:val="BodyText"/>
      </w:pPr>
      <w:r>
        <w:t xml:space="preserve">To capture this uncertainty around the correlation estimates, we should compute their variance ahead of running the meta-analysis. Our meta-analysis package,</w:t>
      </w:r>
      <w:r>
        <w:t xml:space="preserve"> </w:t>
      </w:r>
      <w:r>
        <w:rPr>
          <w:i/>
          <w:iCs/>
        </w:rPr>
        <w:t xml:space="preserve">metafor</w:t>
      </w:r>
      <w:r>
        <w:t xml:space="preserve">, provides a handy function for doing this.</w:t>
      </w:r>
    </w:p>
    <w:p>
      <w:pPr>
        <w:pStyle w:val="SourceCode"/>
      </w:pPr>
      <w:r>
        <w:rPr>
          <w:rStyle w:val="NormalTok"/>
        </w:rPr>
        <w:t xml:space="preserve">td_dat_var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td_dat)     </w:t>
      </w:r>
      <w:r>
        <w:rPr>
          <w:rStyle w:val="CommentTok"/>
        </w:rPr>
        <w:t xml:space="preserve"># dataset</w:t>
      </w:r>
    </w:p>
    <w:p>
      <w:pPr>
        <w:pStyle w:val="FirstParagraph"/>
      </w:pPr>
      <w:r>
        <w:t xml:space="preserve">If you look to your Environment window (top right), you should now see an object called td_dat_var. If you click the grid to inspect it, you will see two extra columns at the end:</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we’re ready to run the analysis!</w:t>
      </w:r>
    </w:p>
    <w:p>
      <w:r>
        <w:pict>
          <v:rect style="width:0;height:1.5pt" o:hralign="center" o:hrstd="t" o:hr="t"/>
        </w:pict>
      </w:r>
    </w:p>
    <w:bookmarkEnd w:id="25"/>
    <w:bookmarkEnd w:id="26"/>
    <w:bookmarkStart w:id="29" w:name="computing-pooled-effect-sizes"/>
    <w:p>
      <w:pPr>
        <w:pStyle w:val="Heading1"/>
      </w:pPr>
      <w:r>
        <w:t xml:space="preserve">3. Computing pooled effect sizes</w:t>
      </w:r>
    </w:p>
    <w:p>
      <w:pPr>
        <w:pStyle w:val="FirstParagraph"/>
      </w:pPr>
      <w:r>
        <w:t xml:space="preserve">In the lecture, you learned about fixed and random effects meta-analyses. Let’s have a go at running both.</w:t>
      </w:r>
    </w:p>
    <w:bookmarkStart w:id="27" w:name="fixed-effects-meta-analysis"/>
    <w:p>
      <w:pPr>
        <w:pStyle w:val="Heading2"/>
      </w:pPr>
      <w:r>
        <w:t xml:space="preserve">3.1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w:t>
      </w:r>
      <w:r>
        <w:br/>
      </w:r>
      <w:r>
        <w:rPr>
          <w:rStyle w:val="NormalTok"/>
        </w:rPr>
        <w:t xml:space="preserve">fixed_mod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td_dat_var)</w:t>
      </w:r>
    </w:p>
    <w:p>
      <w:pPr>
        <w:pStyle w:val="FirstParagraph"/>
      </w:pPr>
      <w:r>
        <w:t xml:space="preserve">We’ve specified the variables with our effect size estimates and sampling variance (already conveniently named the same by</w:t>
      </w:r>
      <w:r>
        <w:t xml:space="preserve"> </w:t>
      </w:r>
      <w:r>
        <w:rPr>
          <w:rStyle w:val="VerbatimChar"/>
        </w:rPr>
        <w:t xml:space="preserve">escalc()</w:t>
      </w:r>
      <w:r>
        <w:t xml:space="preserve"> </w:t>
      </w:r>
      <w:r>
        <w:t xml:space="preserve">function above).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(fixed_mod)</w:t>
      </w:r>
    </w:p>
    <w:p>
      <w:pPr>
        <w:pStyle w:val="SourceCode"/>
      </w:pPr>
      <w:r>
        <w:br/>
      </w:r>
      <w:r>
        <w:rPr>
          <w:rStyle w:val="VerbatimChar"/>
        </w:rPr>
        <w:t xml:space="preserve">Fixed-Effects Model (k = 73)</w:t>
      </w:r>
      <w:r>
        <w:br/>
      </w:r>
      <w:r>
        <w:br/>
      </w:r>
      <w:r>
        <w:rPr>
          <w:rStyle w:val="VerbatimChar"/>
        </w:rPr>
        <w:t xml:space="preserve">  logLik  deviance       AIC       BIC      AICc   </w:t>
      </w:r>
      <w:r>
        <w:br/>
      </w:r>
      <w:r>
        <w:rPr>
          <w:rStyle w:val="VerbatimChar"/>
        </w:rPr>
        <w:t xml:space="preserve"> 23.9041   82.2057  -45.8082  -43.5177  -45.7518   </w:t>
      </w:r>
      <w:r>
        <w:br/>
      </w:r>
      <w:r>
        <w:br/>
      </w:r>
      <w:r>
        <w:rPr>
          <w:rStyle w:val="VerbatimChar"/>
        </w:rPr>
        <w:t xml:space="preserve">I^2 (total heterogeneity / total variability):   12.41%</w:t>
      </w:r>
      <w:r>
        <w:br/>
      </w:r>
      <w:r>
        <w:rPr>
          <w:rStyle w:val="VerbatimChar"/>
        </w:rPr>
        <w:t xml:space="preserve">H^2 (total variability / sampling variability):  1.14</w:t>
      </w:r>
      <w:r>
        <w:br/>
      </w:r>
      <w:r>
        <w:br/>
      </w:r>
      <w:r>
        <w:rPr>
          <w:rStyle w:val="VerbatimChar"/>
        </w:rPr>
        <w:t xml:space="preserve">Test for Heterogeneity:</w:t>
      </w:r>
      <w:r>
        <w:br/>
      </w:r>
      <w:r>
        <w:rPr>
          <w:rStyle w:val="VerbatimChar"/>
        </w:rPr>
        <w:t xml:space="preserve">Q(df = 72) = 82.2057, p-val = 0.1926</w:t>
      </w:r>
      <w:r>
        <w:br/>
      </w:r>
      <w:r>
        <w:br/>
      </w:r>
      <w:r>
        <w:rPr>
          <w:rStyle w:val="VerbatimChar"/>
        </w:rPr>
        <w:t xml:space="preserve">Model Results:</w:t>
      </w:r>
      <w:r>
        <w:br/>
      </w:r>
      <w:r>
        <w:br/>
      </w:r>
      <w:r>
        <w:rPr>
          <w:rStyle w:val="VerbatimChar"/>
        </w:rPr>
        <w:t xml:space="preserve">estimate      se    zval    pval   ci.lb   ci.ub    </w:t>
      </w:r>
      <w:r>
        <w:br/>
      </w:r>
      <w:r>
        <w:rPr>
          <w:rStyle w:val="VerbatimChar"/>
        </w:rPr>
        <w:t xml:space="preserve">  0.0444  0.0178  2.5003  0.0124  0.0096  0.0793  * </w:t>
      </w:r>
      <w:r>
        <w:br/>
      </w:r>
      <w:r>
        <w:br/>
      </w:r>
      <w:r>
        <w:rPr>
          <w:rStyle w:val="VerbatimChar"/>
        </w:rPr>
        <w:t xml:space="preserve">---</w:t>
      </w:r>
      <w:r>
        <w:br/>
      </w:r>
      <w:r>
        <w:rPr>
          <w:rStyle w:val="VerbatimChar"/>
        </w:rPr>
        <w:t xml:space="preserve">Signif. codes:  0 '***' 0.001 '**' 0.01 '*' 0.05 '.' 0.1 ' ' 1</w:t>
      </w:r>
    </w:p>
    <w:p>
      <w:pPr>
        <w:pStyle w:val="FirstParagraph"/>
      </w:pPr>
      <w:r>
        <w:t xml:space="preserve">The output tells us that we ran a Fixed-Effects model with 73 effect sizes. The pooled estimate for the correlation coefficient is ~0.04, showing a very small yet statistically significant correlation.</w:t>
      </w:r>
    </w:p>
    <w:bookmarkEnd w:id="27"/>
    <w:bookmarkStart w:id="28" w:name="random-effects-meta-analysis"/>
    <w:p>
      <w:pPr>
        <w:pStyle w:val="Heading2"/>
      </w:pPr>
      <w:r>
        <w:t xml:space="preserve">3.2 Random effects meta-analysis</w:t>
      </w:r>
    </w:p>
    <w:p>
      <w:pPr>
        <w:pStyle w:val="FirstParagraph"/>
      </w:pPr>
      <w:r>
        <w:t xml:space="preserve">The random effects model assumes that the samples in the meta-analysis are a random sample from a larger population of studies that could plausibly have been/will be conducted. 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w:t>
      </w:r>
      <w:r>
        <w:br/>
      </w:r>
      <w:r>
        <w:rPr>
          <w:rStyle w:val="NormalTok"/>
        </w:rPr>
        <w:t xml:space="preserve">random_mod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td_dat_var)</w:t>
      </w:r>
      <w:r>
        <w:br/>
      </w:r>
      <w:r>
        <w:rPr>
          <w:rStyle w:val="FunctionTok"/>
        </w:rPr>
        <w:t xml:space="preserve">summary</w:t>
      </w:r>
      <w:r>
        <w:rPr>
          <w:rStyle w:val="NormalTok"/>
        </w:rPr>
        <w:t xml:space="preserve">(random_mod)</w:t>
      </w:r>
    </w:p>
    <w:p>
      <w:pPr>
        <w:pStyle w:val="SourceCode"/>
      </w:pPr>
      <w:r>
        <w:br/>
      </w:r>
      <w:r>
        <w:rPr>
          <w:rStyle w:val="VerbatimChar"/>
        </w:rPr>
        <w:t xml:space="preserve">Random-Effects Model (k = 73; tau^2 estimator: REML)</w:t>
      </w:r>
      <w:r>
        <w:br/>
      </w:r>
      <w:r>
        <w:br/>
      </w:r>
      <w:r>
        <w:rPr>
          <w:rStyle w:val="VerbatimChar"/>
        </w:rPr>
        <w:t xml:space="preserve">  logLik  deviance       AIC       BIC      AICc   </w:t>
      </w:r>
      <w:r>
        <w:br/>
      </w:r>
      <w:r>
        <w:rPr>
          <w:rStyle w:val="VerbatimChar"/>
        </w:rPr>
        <w:t xml:space="preserve"> 25.3819  -50.7639  -46.7639  -42.2105  -46.5900   </w:t>
      </w:r>
      <w:r>
        <w:br/>
      </w:r>
      <w:r>
        <w:br/>
      </w:r>
      <w:r>
        <w:rPr>
          <w:rStyle w:val="VerbatimChar"/>
        </w:rPr>
        <w:t xml:space="preserve">tau^2 (estimated amount of total heterogeneity): 0.0068 (SE = 0.0049)</w:t>
      </w:r>
      <w:r>
        <w:br/>
      </w:r>
      <w:r>
        <w:rPr>
          <w:rStyle w:val="VerbatimChar"/>
        </w:rPr>
        <w:t xml:space="preserve">tau (square root of estimated tau^2 value):      0.0827</w:t>
      </w:r>
      <w:r>
        <w:br/>
      </w:r>
      <w:r>
        <w:rPr>
          <w:rStyle w:val="VerbatimChar"/>
        </w:rPr>
        <w:t xml:space="preserve">I^2 (total heterogeneity / total variability):   22.78%</w:t>
      </w:r>
      <w:r>
        <w:br/>
      </w:r>
      <w:r>
        <w:rPr>
          <w:rStyle w:val="VerbatimChar"/>
        </w:rPr>
        <w:t xml:space="preserve">H^2 (total variability / sampling variability):  1.30</w:t>
      </w:r>
      <w:r>
        <w:br/>
      </w:r>
      <w:r>
        <w:br/>
      </w:r>
      <w:r>
        <w:rPr>
          <w:rStyle w:val="VerbatimChar"/>
        </w:rPr>
        <w:t xml:space="preserve">Test for Heterogeneity:</w:t>
      </w:r>
      <w:r>
        <w:br/>
      </w:r>
      <w:r>
        <w:rPr>
          <w:rStyle w:val="VerbatimChar"/>
        </w:rPr>
        <w:t xml:space="preserve">Q(df = 72) = 82.2057, p-val = 0.1926</w:t>
      </w:r>
      <w:r>
        <w:br/>
      </w:r>
      <w:r>
        <w:br/>
      </w:r>
      <w:r>
        <w:rPr>
          <w:rStyle w:val="VerbatimChar"/>
        </w:rPr>
        <w:t xml:space="preserve">Model Results:</w:t>
      </w:r>
      <w:r>
        <w:br/>
      </w:r>
      <w:r>
        <w:br/>
      </w:r>
      <w:r>
        <w:rPr>
          <w:rStyle w:val="VerbatimChar"/>
        </w:rPr>
        <w:t xml:space="preserve">estimate      se    zval    pval    ci.lb   ci.ub    </w:t>
      </w:r>
      <w:r>
        <w:br/>
      </w:r>
      <w:r>
        <w:rPr>
          <w:rStyle w:val="VerbatimChar"/>
        </w:rPr>
        <w:t xml:space="preserve">  0.0361  0.0208  1.7361  0.0825  -0.0047  0.0769  . </w:t>
      </w:r>
      <w:r>
        <w:br/>
      </w:r>
      <w:r>
        <w:br/>
      </w:r>
      <w:r>
        <w:rPr>
          <w:rStyle w:val="VerbatimChar"/>
        </w:rPr>
        <w:t xml:space="preserve">---</w:t>
      </w:r>
      <w:r>
        <w:br/>
      </w:r>
      <w:r>
        <w:rPr>
          <w:rStyle w:val="VerbatimChar"/>
        </w:rPr>
        <w:t xml:space="preserve">Signif. codes:  0 '***' 0.001 '**' 0.01 '*' 0.05 '.' 0.1 ' ' 1</w:t>
      </w:r>
    </w:p>
    <w:p>
      <w:pPr>
        <w:pStyle w:val="FirstParagraph"/>
      </w:pPr>
      <w:r>
        <w:t xml:space="preserve">We can see from the results that the coefficient estimate has shrunk slightly and is no longer significant. These are both valid models but have different inferences: the fixed effects model tells us that there is a very small but significant correlation across the available datasets, but when we consider heterogeneity between effect sizes in the random effects model, we see that this effect size is likely even smaller in the wider population.</w:t>
      </w:r>
    </w:p>
    <w:p>
      <w:r>
        <w:pict>
          <v:rect style="width:0;height:1.5pt" o:hralign="center" o:hrstd="t" o:hr="t"/>
        </w:pict>
      </w:r>
    </w:p>
    <w:bookmarkEnd w:id="28"/>
    <w:bookmarkEnd w:id="29"/>
    <w:bookmarkStart w:id="32" w:name="weighting-studies"/>
    <w:p>
      <w:pPr>
        <w:pStyle w:val="Heading1"/>
      </w:pPr>
      <w:r>
        <w:t xml:space="preserve">4. Weighting studies</w:t>
      </w:r>
    </w:p>
    <w:p>
      <w:pPr>
        <w:pStyle w:val="FirstParagraph"/>
      </w:pPr>
      <w:r>
        <w:t xml:space="preserve">We saw in Section 2 that the variation in sample size was very large. We should consider this in our analysis: a very large study likely provides a better estimate of the true effect size than a very small study.</w:t>
      </w:r>
    </w:p>
    <w:bookmarkStart w:id="30" w:name="Xafb338b5fa20d7910b5397e4b330a799e7df68e"/>
    <w:p>
      <w:pPr>
        <w:pStyle w:val="Heading2"/>
      </w:pPr>
      <w:r>
        <w:t xml:space="preserve">4.1 Under the hood: computing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td_dat_var</w:t>
      </w:r>
      <w:r>
        <w:t xml:space="preserve"> </w:t>
      </w:r>
      <w:r>
        <w:t xml:space="preserve">data frame, you will see that the smaller samples have the highest variance (</w:t>
      </w:r>
      <w:r>
        <w:rPr>
          <w:rStyle w:val="VerbatimChar"/>
        </w:rPr>
        <w:t xml:space="preserve">vi</w:t>
      </w:r>
      <w:r>
        <w:t xml:space="preserve">). You can click on the column header to order the data by this variable, so that you can see this for yourself.</w:t>
      </w:r>
    </w:p>
    <w:p>
      <w:pPr>
        <w:pStyle w:val="BodyText"/>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w:t>
      </w:r>
    </w:p>
    <w:p>
      <w:pPr>
        <w:pStyle w:val="SourceCode"/>
      </w:pPr>
      <w:r>
        <w:rPr>
          <w:rStyle w:val="NormalTok"/>
        </w:rPr>
        <w:t xml:space="preserve">td_dat_inv </w:t>
      </w:r>
      <w:r>
        <w:rPr>
          <w:rStyle w:val="OtherTok"/>
        </w:rPr>
        <w:t xml:space="preserve">&lt;-</w:t>
      </w:r>
      <w:r>
        <w:rPr>
          <w:rStyle w:val="NormalTok"/>
        </w:rPr>
        <w:t xml:space="preserve"> </w:t>
      </w:r>
      <w:r>
        <w:rPr>
          <w:rStyle w:val="FunctionTok"/>
        </w:rPr>
        <w:t xml:space="preserve">mutate</w:t>
      </w:r>
      <w:r>
        <w:rPr>
          <w:rStyle w:val="NormalTok"/>
        </w:rPr>
        <w:t xml:space="preserve">(td_dat_var, </w:t>
      </w:r>
      <w:r>
        <w:rPr>
          <w:rStyle w:val="AttributeTok"/>
        </w:rPr>
        <w:t xml:space="preserve">inv_var =</w:t>
      </w:r>
      <w:r>
        <w:rPr>
          <w:rStyle w:val="NormalTok"/>
        </w:rPr>
        <w:t xml:space="preserve"> </w:t>
      </w:r>
      <w:r>
        <w:rPr>
          <w:rStyle w:val="DecValTok"/>
        </w:rPr>
        <w:t xml:space="preserve">1</w:t>
      </w:r>
      <w:r>
        <w:rPr>
          <w:rStyle w:val="SpecialCharTok"/>
        </w:rPr>
        <w:t xml:space="preserve">/</w:t>
      </w:r>
      <w:r>
        <w:rPr>
          <w:rStyle w:val="NormalTok"/>
        </w:rPr>
        <w:t xml:space="preserve">vi)</w:t>
      </w:r>
    </w:p>
    <w:p>
      <w:pPr>
        <w:pStyle w:val="FirstParagraph"/>
      </w:pPr>
      <w:r>
        <w:t xml:space="preserve">Here we used the</w:t>
      </w:r>
      <w:r>
        <w:t xml:space="preserve"> </w:t>
      </w:r>
      <w:r>
        <w:rPr>
          <w:rStyle w:val="VerbatimChar"/>
        </w:rPr>
        <w:t xml:space="preserve">mutate()</w:t>
      </w:r>
      <w:r>
        <w:t xml:space="preserve"> </w:t>
      </w:r>
      <w:r>
        <w:t xml:space="preserve">function (from the</w:t>
      </w:r>
      <w:r>
        <w:t xml:space="preserve"> </w:t>
      </w:r>
      <w:r>
        <w:rPr>
          <w:i/>
          <w:iCs/>
        </w:rPr>
        <w:t xml:space="preserve">tidyverse</w:t>
      </w:r>
      <w:r>
        <w:t xml:space="preserve"> </w:t>
      </w:r>
      <w:r>
        <w:t xml:space="preserve">package) to make a change to the existing dataframe</w:t>
      </w:r>
      <w:r>
        <w:t xml:space="preserve"> </w:t>
      </w:r>
      <w:r>
        <w:rPr>
          <w:rStyle w:val="VerbatimChar"/>
        </w:rPr>
        <w:t xml:space="preserve">td_dat_var</w:t>
      </w:r>
      <w:r>
        <w:t xml:space="preserve">. We provide the name of the new variable,</w:t>
      </w:r>
      <w:r>
        <w:t xml:space="preserve"> </w:t>
      </w:r>
      <w:r>
        <w:rPr>
          <w:rStyle w:val="VerbatimChar"/>
        </w:rPr>
        <w:t xml:space="preserve">inv_var</w:t>
      </w:r>
      <w:r>
        <w:t xml:space="preserve">, and specify that this variable should be computed as 1 divided by the variance variable</w:t>
      </w:r>
      <w:r>
        <w:t xml:space="preserve"> </w:t>
      </w:r>
      <w:r>
        <w:rPr>
          <w:rStyle w:val="VerbatimChar"/>
        </w:rPr>
        <w:t xml:space="preserve">vi</w:t>
      </w:r>
      <w:r>
        <w:t xml:space="preserve">. We assigned the new version of the dataset to a new object,</w:t>
      </w:r>
      <w:r>
        <w:t xml:space="preserve"> </w:t>
      </w:r>
      <w:r>
        <w:rPr>
          <w:rStyle w:val="VerbatimChar"/>
        </w:rPr>
        <w:t xml:space="preserve">td_dat_inv</w:t>
      </w:r>
      <w:r>
        <w:t xml:space="preserve">.</w:t>
      </w:r>
    </w:p>
    <w:p>
      <w:pPr>
        <w:pStyle w:val="BodyText"/>
      </w:pPr>
      <w:r>
        <w:t xml:space="preserve">Inspect this new object by clicking the grid icon in your Environment window. You should now see that your</w:t>
      </w:r>
      <w:r>
        <w:t xml:space="preserve"> </w:t>
      </w:r>
      <w:r>
        <w:rPr>
          <w:rStyle w:val="VerbatimChar"/>
        </w:rPr>
        <w:t xml:space="preserve">inv_var</w:t>
      </w:r>
      <w:r>
        <w:t xml:space="preserve"> </w:t>
      </w:r>
      <w:r>
        <w:t xml:space="preserve">column has larger numbers for studies with larger sample sizes (</w:t>
      </w:r>
      <w:r>
        <w:rPr>
          <w:rStyle w:val="VerbatimChar"/>
        </w:rPr>
        <w:t xml:space="preserve">N</w:t>
      </w:r>
      <w:r>
        <w:t xml:space="preserve">).</w:t>
      </w:r>
    </w:p>
    <w:bookmarkEnd w:id="30"/>
    <w:bookmarkStart w:id="31" w:name="changing-weights-in-the-meta-analysis"/>
    <w:p>
      <w:pPr>
        <w:pStyle w:val="Heading2"/>
      </w:pPr>
      <w:r>
        <w:t xml:space="preserve">4.2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1"/>
    <w:bookmarkEnd w:id="32"/>
    <w:bookmarkStart w:id="33" w:name="displaying-results-with-forest-plots"/>
    <w:p>
      <w:pPr>
        <w:pStyle w:val="Heading1"/>
      </w:pPr>
      <w:r>
        <w:t xml:space="preserve">5. Displaying results with forest plots</w:t>
      </w:r>
    </w:p>
    <w:p>
      <w:pPr>
        <w:pStyle w:val="FirstParagraph"/>
      </w:pPr>
      <w:r>
        <w:t xml:space="preserve">An easy way to visualise the results is to use a forest plot. The</w:t>
      </w:r>
      <w:r>
        <w:t xml:space="preserve"> </w:t>
      </w:r>
      <w:r>
        <w:rPr>
          <w:i/>
          <w:iCs/>
        </w:rPr>
        <w:t xml:space="preserve">metafor</w:t>
      </w:r>
      <w:r>
        <w:t xml:space="preserve"> </w:t>
      </w:r>
      <w:r>
        <w:t xml:space="preserve">package provides a handy</w:t>
      </w:r>
      <w:r>
        <w:t xml:space="preserve"> </w:t>
      </w:r>
      <w:r>
        <w:rPr>
          <w:rStyle w:val="VerbatimChar"/>
        </w:rPr>
        <w:t xml:space="preserve">forest()</w:t>
      </w:r>
      <w:r>
        <w:t xml:space="preserve"> </w:t>
      </w:r>
      <w:r>
        <w:t xml:space="preserve">function for this: we simply give it the name of our meta-analysis model object. We can also use the</w:t>
      </w:r>
      <w:r>
        <w:t xml:space="preserve"> </w:t>
      </w:r>
      <w:r>
        <w:rPr>
          <w:rStyle w:val="VerbatimChar"/>
        </w:rPr>
        <w:t xml:space="preserve">slab</w:t>
      </w:r>
      <w:r>
        <w:t xml:space="preserve"> </w:t>
      </w:r>
      <w:r>
        <w:t xml:space="preserve">argument to provide study labels, which we can take from the</w:t>
      </w:r>
      <w:r>
        <w:t xml:space="preserve"> </w:t>
      </w:r>
      <w:r>
        <w:rPr>
          <w:rStyle w:val="VerbatimChar"/>
        </w:rPr>
        <w:t xml:space="preserve">Study</w:t>
      </w:r>
      <w:r>
        <w:t xml:space="preserve"> </w:t>
      </w:r>
      <w:r>
        <w:t xml:space="preserve">column of the dataset we used.</w:t>
      </w:r>
    </w:p>
    <w:p>
      <w:pPr>
        <w:pStyle w:val="SourceCode"/>
      </w:pPr>
      <w:r>
        <w:rPr>
          <w:rStyle w:val="FunctionTok"/>
        </w:rPr>
        <w:t xml:space="preserve">forest</w:t>
      </w:r>
      <w:r>
        <w:rPr>
          <w:rStyle w:val="NormalTok"/>
        </w:rPr>
        <w:t xml:space="preserve">(fixed_mod, </w:t>
      </w:r>
      <w:r>
        <w:rPr>
          <w:rStyle w:val="AttributeTok"/>
        </w:rPr>
        <w:t xml:space="preserve">slab =</w:t>
      </w:r>
      <w:r>
        <w:rPr>
          <w:rStyle w:val="NormalTok"/>
        </w:rPr>
        <w:t xml:space="preserve"> td_dat_var</w:t>
      </w:r>
      <w:r>
        <w:rPr>
          <w:rStyle w:val="SpecialCharTok"/>
        </w:rPr>
        <w:t xml:space="preserve">$</w:t>
      </w:r>
      <w:r>
        <w:rPr>
          <w:rStyle w:val="NormalTok"/>
        </w:rPr>
        <w:t xml:space="preserve">Study)</w:t>
      </w:r>
    </w:p>
    <w:p>
      <w:pPr>
        <w:pStyle w:val="FirstParagraph"/>
      </w:pPr>
      <w:r>
        <w:t xml:space="preserve">Try this now for the different models you ran, and see how the pooled estimate at the bottom changes in whether it crosses the 0 line.</w:t>
      </w:r>
    </w:p>
    <w:bookmarkEnd w:id="33"/>
    <w:bookmarkStart w:id="35" w:name="inspecting-for-publication-bias"/>
    <w:p>
      <w:pPr>
        <w:pStyle w:val="Heading1"/>
      </w:pPr>
      <w:r>
        <w:t xml:space="preserve">6. Inspecting for publication bias</w:t>
      </w:r>
    </w:p>
    <w:p>
      <w:pPr>
        <w:pStyle w:val="FirstParagraph"/>
      </w:pPr>
      <w:r>
        <w:t xml:space="preserve">Finally, let’s consider whether this analysis might be affected by publication bias. We can do this using a funnel plot:</w:t>
      </w:r>
    </w:p>
    <w:p>
      <w:pPr>
        <w:pStyle w:val="SourceCode"/>
      </w:pPr>
      <w:r>
        <w:rPr>
          <w:rStyle w:val="FunctionTok"/>
        </w:rPr>
        <w:t xml:space="preserve">funnel</w:t>
      </w:r>
      <w:r>
        <w:rPr>
          <w:rStyle w:val="NormalTok"/>
        </w:rPr>
        <w:t xml:space="preserve">(fixed_mod)</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which is also a built-in function in the</w:t>
      </w:r>
      <w:r>
        <w:t xml:space="preserve"> </w:t>
      </w:r>
      <w:r>
        <w:rPr>
          <w:i/>
          <w:iCs/>
        </w:rPr>
        <w:t xml:space="preserve">metafor</w:t>
      </w:r>
      <w:r>
        <w:t xml:space="preserve"> </w:t>
      </w:r>
      <w:r>
        <w:t xml:space="preserve">package. See if you can find the relevant function online and apply it here.</w:t>
      </w:r>
    </w:p>
    <w:bookmarkEnd w:id="35"/>
    <w:bookmarkStart w:id="42" w:name="summary"/>
    <w:p>
      <w:pPr>
        <w:pStyle w:val="Heading1"/>
      </w:pPr>
      <w:r>
        <w:t xml:space="preserve">7. Summary</w:t>
      </w:r>
    </w:p>
    <w:p>
      <w:pPr>
        <w:pStyle w:val="FirstParagraph"/>
      </w:pPr>
      <w:r>
        <w:t xml:space="preserve">In this practical, we have extracted relevant results from published studies and used them in both fixed and random effects meta-analyses. We saw how these models can weight different studies in computing the pooled estimates, and plotted them using forest plots. Finally, we considered whether there might be evidence of publication bias in this literature. Before you leave, make sure you have commented your code so that future-you remembers what you have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36">
        <w:r>
          <w:rPr>
            <w:rStyle w:val="Hyperlink"/>
          </w:rPr>
          <w:t xml:space="preserve">access the full paper here</w:t>
        </w:r>
      </w:hyperlink>
      <w:r>
        <w:t xml:space="preserve"> </w:t>
      </w:r>
      <w:r>
        <w:t xml:space="preserve">or</w:t>
      </w:r>
      <w:r>
        <w:t xml:space="preserve"> </w:t>
      </w:r>
      <w:hyperlink r:id="rId37">
        <w:r>
          <w:rPr>
            <w:rStyle w:val="Hyperlink"/>
          </w:rPr>
          <w:t xml:space="preserve">download the full dataset and analysis scripts</w:t>
        </w:r>
      </w:hyperlink>
      <w:r>
        <w:t xml:space="preserve">.</w:t>
      </w:r>
    </w:p>
    <w:bookmarkStart w:id="38" w:name="challenge-yourself"/>
    <w:p>
      <w:pPr>
        <w:pStyle w:val="Heading2"/>
      </w:pPr>
      <w:r>
        <w:t xml:space="preserve">7.1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Use the original data file that you loaded in (</w:t>
      </w:r>
      <w:r>
        <w:rPr>
          <w:rStyle w:val="VerbatimChar"/>
        </w:rPr>
        <w:t xml:space="preserve">full_dat</w:t>
      </w:r>
      <w:r>
        <w:t xml:space="preserve">), which also includes effect sizes for samples with developmental dyslexia. You can look at the help files or use Google to find out how to include this extra predictor.</w:t>
      </w:r>
    </w:p>
    <w:bookmarkEnd w:id="38"/>
    <w:bookmarkStart w:id="41" w:name="further-learning"/>
    <w:p>
      <w:pPr>
        <w:pStyle w:val="Heading2"/>
      </w:pPr>
      <w:r>
        <w:t xml:space="preserve">7.2 Further learning</w:t>
      </w:r>
    </w:p>
    <w:p>
      <w:pPr>
        <w:pStyle w:val="FirstParagraph"/>
      </w:pPr>
      <w:r>
        <w:t xml:space="preserve">You can find the core reading for this week on the VLE. If you come to do meta-analysis in the future or want further details on the different steps that we have covered, then there is an excellent textbook available for free online:</w:t>
      </w:r>
      <w:r>
        <w:t xml:space="preserve"> </w:t>
      </w:r>
      <w:hyperlink r:id="rId39">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Feedback</w:t>
            </w:r>
          </w:p>
        </w:tc>
      </w:tr>
      <w:tr>
        <w:trPr>
          <w:cantSplit/>
        </w:trPr>
        <w:tc>
          <w:tcPr>
            <w:tcMar>
              <w:top w:w="108" w:type="dxa"/>
              <w:bottom w:w="108" w:type="dxa"/>
            </w:tcMar>
          </w:tcPr>
          <w:p>
            <w:pPr>
              <w:pStyle w:val="BodyText"/>
            </w:pPr>
            <w:pPr>
              <w:spacing w:before="16"/>
            </w:pPr>
            <w:r>
              <w:t xml:space="preserve">These practical sessions have been heavily edited this year. Please take 20 seconds to rate the difficulty and length of these practical activities</w:t>
            </w:r>
            <w:r>
              <w:t xml:space="preserve"> </w:t>
            </w:r>
            <w:hyperlink r:id="rId40">
              <w:r>
                <w:rPr>
                  <w:rStyle w:val="Hyperlink"/>
                </w:rPr>
                <w:t xml:space="preserve">via 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 VLE Discussion Board.</w:t>
            </w:r>
          </w:p>
        </w:tc>
      </w:tr>
    </w:tbl>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bookdown.org/MathiasHarrer/Doing_Meta_Analysis_in_R/" TargetMode="External" /><Relationship Type="http://schemas.openxmlformats.org/officeDocument/2006/relationships/hyperlink" Id="rId40" Target="https://docs.google.com/forms/d/e/1FAIpQLScSvAc_V9Kd3iWJK3A47zzlIiEJfvUcDIvq_de868dewskWPQ/viewform?usp=sharing&amp;ouid=106695012897632476472" TargetMode="External" /><Relationship Type="http://schemas.openxmlformats.org/officeDocument/2006/relationships/hyperlink" Id="rId21" Target="https://doi.org/10.1016/j.ridd.2017.10.015" TargetMode="External" /><Relationship Type="http://schemas.openxmlformats.org/officeDocument/2006/relationships/hyperlink" Id="rId22" Target="https://doi.org/10.1080/10888438.2018.1482304" TargetMode="External" /><Relationship Type="http://schemas.openxmlformats.org/officeDocument/2006/relationships/hyperlink" Id="rId36" Target="https://onlinelibrary.wiley.com/doi/full/10.1111/cogs.13310" TargetMode="External" /><Relationship Type="http://schemas.openxmlformats.org/officeDocument/2006/relationships/hyperlink" Id="rId37" Target="https://osf.io/ev2xw/"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39" Target="https://bookdown.org/MathiasHarrer/Doing_Meta_Analysis_in_R/" TargetMode="External" /><Relationship Type="http://schemas.openxmlformats.org/officeDocument/2006/relationships/hyperlink" Id="rId40" Target="https://docs.google.com/forms/d/e/1FAIpQLScSvAc_V9Kd3iWJK3A47zzlIiEJfvUcDIvq_de868dewskWPQ/viewform?usp=sharing&amp;ouid=106695012897632476472" TargetMode="External" /><Relationship Type="http://schemas.openxmlformats.org/officeDocument/2006/relationships/hyperlink" Id="rId21" Target="https://doi.org/10.1016/j.ridd.2017.10.015" TargetMode="External" /><Relationship Type="http://schemas.openxmlformats.org/officeDocument/2006/relationships/hyperlink" Id="rId22" Target="https://doi.org/10.1080/10888438.2018.1482304" TargetMode="External" /><Relationship Type="http://schemas.openxmlformats.org/officeDocument/2006/relationships/hyperlink" Id="rId36" Target="https://onlinelibrary.wiley.com/doi/full/10.1111/cogs.13310" TargetMode="External" /><Relationship Type="http://schemas.openxmlformats.org/officeDocument/2006/relationships/hyperlink" Id="rId37" Target="https://osf.io/ev2xw/"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Meta-analysis</dc:title>
  <dc:creator>Emma James</dc:creator>
  <cp:keywords/>
  <dcterms:created xsi:type="dcterms:W3CDTF">2026-01-14T10:27:38Z</dcterms:created>
  <dcterms:modified xsi:type="dcterms:W3CDTF">2026-01-14T10:27:38Z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