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2" w:name="part-1-core-example"/>
    <w:p>
      <w:pPr>
        <w:pStyle w:val="Heading1"/>
      </w:pPr>
      <w:r>
        <w:t xml:space="preserve">3. Part 1: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r>
        <w:pict>
          <v:rect style="width:0;height:1.5pt" o:hralign="center" o:hrstd="t" o:hr="t"/>
        </w:pic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2-apply-your-knowledge"/>
    <w:p>
      <w:pPr>
        <w:pStyle w:val="Heading1"/>
      </w:pPr>
      <w:r>
        <w:t xml:space="preserve">4. Part 2: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Use Appendix 1 of the paper to replace the NAs below with the relevant numbers, and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49"/>
    <w:bookmarkEnd w:id="50"/>
    <w:bookmarkStart w:id="53" w:name="challenge-yourself"/>
    <w:p>
      <w:pPr>
        <w:pStyle w:val="Heading1"/>
      </w:pPr>
      <w:r>
        <w:t xml:space="preserve">5.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2026-01-21T14:05:28Z</dcterms:created>
  <dcterms:modified xsi:type="dcterms:W3CDTF">2026-01-21T14:05:28Z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