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 2: Meta-analysis</w:t>
      </w:r>
    </w:p>
    <w:p>
      <w:pPr>
        <w:pStyle w:val="Author"/>
      </w:pPr>
      <w:r>
        <w:t xml:space="preserve">Emma James</w:t>
      </w:r>
    </w:p>
    <w:bookmarkStart w:id="20" w:name="introduction"/>
    <w:p>
      <w:pPr>
        <w:pStyle w:val="Heading1"/>
      </w:pPr>
      <w:r>
        <w:t xml:space="preserve">1. Introduction</w:t>
      </w:r>
    </w:p>
    <w:p>
      <w:pPr>
        <w:pStyle w:val="FirstParagraph"/>
      </w:pPr>
      <w:r>
        <w:t xml:space="preserve">The aim of this week’s practical is to walk through some key steps involved in conducting a meta-analysis. We will use a recently published meta-analysis that examined the relationship between procedural learning and reading ability.</w:t>
      </w:r>
    </w:p>
    <w:p>
      <w:pPr>
        <w:pStyle w:val="BodyText"/>
      </w:pPr>
      <w:r>
        <w:t xml:space="preserve">The</w:t>
      </w:r>
      <w:r>
        <w:t xml:space="preserve"> </w:t>
      </w:r>
      <w:r>
        <w:rPr>
          <w:i/>
          <w:iCs/>
        </w:rPr>
        <w:t xml:space="preserve">Procedural Deficit Hypothesis</w:t>
      </w:r>
      <w:r>
        <w:t xml:space="preserve"> </w:t>
      </w:r>
      <w:r>
        <w:t xml:space="preserve">proposes that reading and language disorders stem from a difficulty in the procedural learning system—i.e., the system that underpins the learning of probabilistic knowledge (Ullman et al., 2020). Procedural learning is often measured using Serial Reaction Time (SRT) tasks: participants respond to a repeating sequence of stimuli (e.g., different button presses), and their improvements in speed over several blocks are measured as an index of learning. However, evidence that SRT performance is associated with reading ability is mixed, with some studies showing a strong association and others finding nothing at all. Many studies in this area suffer from small sample sizes, making it hard to draw sound conclusions.</w:t>
      </w:r>
    </w:p>
    <w:p>
      <w:pPr>
        <w:pStyle w:val="BodyText"/>
      </w:pPr>
      <w:r>
        <w:t xml:space="preserve">A meta-analysis provides a valuable way of summarising this evidence. This meta-analysis was conducted by a former PhD student at York, Dr Catia Oliveira, together with Professor Lisa Henderson and Dr Emma Hayiou-Thomas. We will use part of their dataset to showcase the different steps in conducting a meta-analysis.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Learning objectives</w:t>
            </w:r>
          </w:p>
        </w:tc>
      </w:tr>
      <w:tr>
        <w:trPr>
          <w:cantSplit/>
        </w:trPr>
        <w:tc>
          <w:tcPr>
            <w:tcMar>
              <w:top w:w="108" w:type="dxa"/>
              <w:bottom w:w="108" w:type="dxa"/>
            </w:tcMar>
          </w:tcPr>
          <w:p>
            <w:pPr>
              <w:pStyle w:val="BodyText"/>
            </w:pPr>
            <w:pPr>
              <w:spacing w:before="16"/>
            </w:pPr>
            <w:r>
              <w:t xml:space="preserve">As a reminder, this week’s learning objectives are to:</w:t>
            </w:r>
          </w:p>
          <w:p>
            <w:pPr>
              <w:pStyle w:val="Compact"/>
              <w:numPr>
                <w:ilvl w:val="0"/>
                <w:numId w:val="1001"/>
              </w:numPr>
            </w:pPr>
            <w:r>
              <w:t xml:space="preserve">Explain the purpose and value of meta-analytic approaches</w:t>
            </w:r>
          </w:p>
          <w:p>
            <w:pPr>
              <w:pStyle w:val="Compact"/>
              <w:numPr>
                <w:ilvl w:val="0"/>
                <w:numId w:val="1001"/>
              </w:numPr>
            </w:pPr>
            <w:r>
              <w:t xml:space="preserve">Describe key stages of conducting a meta-analysis</w:t>
            </w:r>
          </w:p>
          <w:p>
            <w:pPr>
              <w:pStyle w:val="Compact"/>
              <w:numPr>
                <w:ilvl w:val="0"/>
                <w:numId w:val="1001"/>
              </w:numPr>
            </w:pPr>
            <w:r>
              <w:t xml:space="preserve">Compare different approaches to weighting and pooling effect sizes</w:t>
            </w:r>
          </w:p>
          <w:p>
            <w:pPr>
              <w:pStyle w:val="Compact"/>
              <w:numPr>
                <w:ilvl w:val="0"/>
                <w:numId w:val="1001"/>
              </w:numPr>
            </w:pPr>
            <w:r>
              <w:t xml:space="preserve">Interpret the results of a meta-analysis</w:t>
            </w:r>
          </w:p>
          <w:p>
            <w:pPr>
              <w:pStyle w:val="Compact"/>
              <w:numPr>
                <w:ilvl w:val="0"/>
                <w:numId w:val="1001"/>
              </w:numPr>
            </w:pPr>
            <w:r>
              <w:t xml:space="preserve">Assess the impact of publication bias on meta-analytic findings</w:t>
            </w:r>
          </w:p>
        </w:tc>
      </w:tr>
    </w:tbl>
    <w:p>
      <w:r>
        <w:pict>
          <v:rect style="width:0;height:1.5pt" o:hralign="center" o:hrstd="t" o:hr="t"/>
        </w:pict>
      </w:r>
    </w:p>
    <w:bookmarkEnd w:id="20"/>
    <w:bookmarkStart w:id="27" w:name="effect-sizes"/>
    <w:p>
      <w:pPr>
        <w:pStyle w:val="Heading1"/>
      </w:pPr>
      <w:r>
        <w:t xml:space="preserve">2. Effect sizes</w:t>
      </w:r>
    </w:p>
    <w:bookmarkStart w:id="24" w:name="extract-effect-sizes"/>
    <w:p>
      <w:pPr>
        <w:pStyle w:val="Heading2"/>
      </w:pPr>
      <w:r>
        <w:t xml:space="preserve">2.1 Extract effect sizes</w:t>
      </w:r>
    </w:p>
    <w:p>
      <w:pPr>
        <w:pStyle w:val="FirstParagraph"/>
      </w:pPr>
      <w:r>
        <w:t xml:space="preserve">In this week’s practical section on the VLE, you should find a file named</w:t>
      </w:r>
      <w:r>
        <w:t xml:space="preserve"> </w:t>
      </w:r>
      <w:r>
        <w:rPr>
          <w:b/>
          <w:bCs/>
        </w:rPr>
        <w:t xml:space="preserve">ARM2_data_srt_gaps.csv.</w:t>
      </w:r>
      <w:r>
        <w:t xml:space="preserve"> </w:t>
      </w:r>
      <w:r>
        <w:t xml:space="preserve">Download this file and save it in the</w:t>
      </w:r>
      <w:r>
        <w:t xml:space="preserve"> </w:t>
      </w:r>
      <w:r>
        <w:rPr>
          <w:b/>
          <w:bCs/>
        </w:rPr>
        <w:t xml:space="preserve">ARM_Practicals/data/</w:t>
      </w:r>
      <w:r>
        <w:t xml:space="preserve"> </w:t>
      </w:r>
      <w:r>
        <w:t xml:space="preserve">folder you created last week.</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16" w:after="16"/>
            </w:pPr>
            <w:r>
              <w:t xml:space="preserve">Tip</w:t>
            </w:r>
          </w:p>
        </w:tc>
      </w:tr>
      <w:tr>
        <w:trPr>
          <w:cantSplit/>
        </w:trPr>
        <w:tc>
          <w:tcPr>
            <w:tcMar>
              <w:top w:w="108" w:type="dxa"/>
              <w:bottom w:w="108" w:type="dxa"/>
            </w:tcMar>
          </w:tcPr>
          <w:p>
            <w:pPr>
              <w:pStyle w:val="BodyText"/>
            </w:pPr>
            <w:pPr>
              <w:spacing w:before="16" w:after="16"/>
            </w:pPr>
            <w:r>
              <w:t xml:space="preserve">If you don’t have this folder on your current machine, repeat the</w:t>
            </w:r>
            <w:r>
              <w:t xml:space="preserve"> </w:t>
            </w:r>
            <w:hyperlink r:id="rId21">
              <w:r>
                <w:rPr>
                  <w:rStyle w:val="Hyperlink"/>
                </w:rPr>
                <w:t xml:space="preserve">set-up steps</w:t>
              </w:r>
            </w:hyperlink>
            <w:r>
              <w:t xml:space="preserve"> </w:t>
            </w:r>
            <w:r>
              <w:t xml:space="preserve">from Week 1.</w:t>
            </w:r>
          </w:p>
        </w:tc>
      </w:tr>
    </w:tbl>
    <w:p>
      <w:pPr>
        <w:pStyle w:val="BodyText"/>
      </w:pPr>
      <w:r>
        <w:t xml:space="preserve">Open this file in Excel to start with. This is a stripped back version of the published meta-analysis. You can see that we have the following columns:</w:t>
      </w:r>
    </w:p>
    <w:p>
      <w:pPr>
        <w:pStyle w:val="Compact"/>
        <w:numPr>
          <w:ilvl w:val="0"/>
          <w:numId w:val="1002"/>
        </w:numPr>
      </w:pPr>
      <w:r>
        <w:rPr>
          <w:b/>
          <w:bCs/>
        </w:rPr>
        <w:t xml:space="preserve">Study:</w:t>
      </w:r>
      <w:r>
        <w:t xml:space="preserve"> </w:t>
      </w:r>
      <w:r>
        <w:t xml:space="preserve">the authors and year of publication</w:t>
      </w:r>
    </w:p>
    <w:p>
      <w:pPr>
        <w:pStyle w:val="Compact"/>
        <w:numPr>
          <w:ilvl w:val="0"/>
          <w:numId w:val="1002"/>
        </w:numPr>
      </w:pPr>
      <w:r>
        <w:rPr>
          <w:b/>
          <w:bCs/>
        </w:rPr>
        <w:t xml:space="preserve">N:</w:t>
      </w:r>
      <w:r>
        <w:t xml:space="preserve"> </w:t>
      </w:r>
      <w:r>
        <w:t xml:space="preserve">the sample size</w:t>
      </w:r>
    </w:p>
    <w:p>
      <w:pPr>
        <w:pStyle w:val="Compact"/>
        <w:numPr>
          <w:ilvl w:val="0"/>
          <w:numId w:val="1002"/>
        </w:numPr>
      </w:pPr>
      <w:r>
        <w:rPr>
          <w:b/>
          <w:bCs/>
        </w:rPr>
        <w:t xml:space="preserve">Age:</w:t>
      </w:r>
      <w:r>
        <w:t xml:space="preserve"> </w:t>
      </w:r>
      <w:r>
        <w:t xml:space="preserve">the average age of the sample</w:t>
      </w:r>
    </w:p>
    <w:p>
      <w:pPr>
        <w:pStyle w:val="Compact"/>
        <w:numPr>
          <w:ilvl w:val="0"/>
          <w:numId w:val="1002"/>
        </w:numPr>
      </w:pPr>
      <w:r>
        <w:rPr>
          <w:b/>
          <w:bCs/>
        </w:rPr>
        <w:t xml:space="preserve">Task:</w:t>
      </w:r>
      <w:r>
        <w:t xml:space="preserve"> </w:t>
      </w:r>
      <w:r>
        <w:t xml:space="preserve">the reading task administered</w:t>
      </w:r>
    </w:p>
    <w:p>
      <w:pPr>
        <w:pStyle w:val="Compact"/>
        <w:numPr>
          <w:ilvl w:val="0"/>
          <w:numId w:val="1002"/>
        </w:numPr>
      </w:pPr>
      <w:r>
        <w:rPr>
          <w:b/>
          <w:bCs/>
        </w:rPr>
        <w:t xml:space="preserve">Group:</w:t>
      </w:r>
      <w:r>
        <w:t xml:space="preserve"> </w:t>
      </w:r>
      <w:r>
        <w:t xml:space="preserve">whether the participants had developmental dyslexia (DD) or not (TD)</w:t>
      </w:r>
    </w:p>
    <w:p>
      <w:pPr>
        <w:pStyle w:val="Compact"/>
        <w:numPr>
          <w:ilvl w:val="0"/>
          <w:numId w:val="1002"/>
        </w:numPr>
      </w:pPr>
      <w:r>
        <w:rPr>
          <w:b/>
          <w:bCs/>
        </w:rPr>
        <w:t xml:space="preserve">Cor:</w:t>
      </w:r>
      <w:r>
        <w:t xml:space="preserve"> </w:t>
      </w:r>
      <w:r>
        <w:t xml:space="preserve">the correlation coefficient,</w:t>
      </w:r>
      <w:r>
        <w:t xml:space="preserve"> </w:t>
      </w:r>
      <w:r>
        <w:rPr>
          <w:i/>
          <w:iCs/>
        </w:rPr>
        <w:t xml:space="preserve">r</w:t>
      </w:r>
    </w:p>
    <w:p>
      <w:pPr>
        <w:pStyle w:val="FirstParagraph"/>
      </w:pPr>
      <w:r>
        <w:t xml:space="preserve">You will see that a few cells are blank. We need to extract this information from the relevant papers before we begin! Inspect the following papers to fill in the missing sample sizes and correlation coefficients:</w:t>
      </w:r>
    </w:p>
    <w:p>
      <w:pPr>
        <w:pStyle w:val="Compact"/>
        <w:numPr>
          <w:ilvl w:val="0"/>
          <w:numId w:val="1003"/>
        </w:numPr>
      </w:pPr>
      <w:hyperlink r:id="rId22">
        <w:r>
          <w:rPr>
            <w:rStyle w:val="Hyperlink"/>
          </w:rPr>
          <w:t xml:space="preserve">Clark &amp; Lum (2017)</w:t>
        </w:r>
      </w:hyperlink>
      <w:r>
        <w:t xml:space="preserve">.</w:t>
      </w:r>
      <w:r>
        <w:t xml:space="preserve"> </w:t>
      </w:r>
      <w:r>
        <w:rPr>
          <w:i/>
          <w:iCs/>
        </w:rPr>
        <w:t xml:space="preserve">(Hint: Inspect Table 3. You want to know the correlation between the procedural learning (SRTT) and nonword (phonemic decoding efficiency) tasks.)</w:t>
      </w:r>
    </w:p>
    <w:p>
      <w:pPr>
        <w:pStyle w:val="Compact"/>
        <w:numPr>
          <w:ilvl w:val="0"/>
          <w:numId w:val="1003"/>
        </w:numPr>
      </w:pPr>
      <w:hyperlink r:id="rId23">
        <w:r>
          <w:rPr>
            <w:rStyle w:val="Hyperlink"/>
          </w:rPr>
          <w:t xml:space="preserve">Schmalz et al. (2021)</w:t>
        </w:r>
      </w:hyperlink>
      <w:r>
        <w:t xml:space="preserve">.</w:t>
      </w:r>
      <w:r>
        <w:t xml:space="preserve"> </w:t>
      </w:r>
      <w:r>
        <w:rPr>
          <w:i/>
          <w:iCs/>
        </w:rPr>
        <w:t xml:space="preserve">(Hint: Inspect Table 2. The correlations in the meta-analysis reflect each of the word reading and pseudoword reading measures with the SRTT difference)</w:t>
      </w:r>
    </w:p>
    <w:p>
      <w:pPr>
        <w:pStyle w:val="FirstParagraph"/>
      </w:pPr>
      <w:r>
        <w:t xml:space="preserve">Make sure you check carefully that all cells of the table are filled before proceeding. Then save your new version of the file as</w:t>
      </w:r>
      <w:r>
        <w:t xml:space="preserve"> </w:t>
      </w:r>
      <w:r>
        <w:rPr>
          <w:b/>
          <w:bCs/>
        </w:rPr>
        <w:t xml:space="preserve">ARM2_data_srt_complete.csv</w:t>
      </w:r>
      <w:r>
        <w:t xml:space="preserve"> </w:t>
      </w:r>
      <w:r>
        <w:t xml:space="preserve">in the same data folder.</w:t>
      </w:r>
    </w:p>
    <w:bookmarkEnd w:id="24"/>
    <w:bookmarkStart w:id="25" w:name="setting-up-in-rstudio"/>
    <w:p>
      <w:pPr>
        <w:pStyle w:val="Heading2"/>
      </w:pPr>
      <w:r>
        <w:t xml:space="preserve">2.2 Setting up in RStudio</w:t>
      </w:r>
    </w:p>
    <w:p>
      <w:pPr>
        <w:pStyle w:val="FirstParagraph"/>
      </w:pPr>
      <w:r>
        <w:t xml:space="preserve">Now that we have extracted information from our identified studies, let’s get set up in R. In your ARM_Practicals folder, double click the</w:t>
      </w:r>
      <w:r>
        <w:t xml:space="preserve"> </w:t>
      </w:r>
      <w:r>
        <w:rPr>
          <w:b/>
          <w:bCs/>
        </w:rPr>
        <w:t xml:space="preserve">ARM_Practicals.Rproj</w:t>
      </w:r>
      <w:r>
        <w:t xml:space="preserve"> </w:t>
      </w:r>
      <w:r>
        <w:t xml:space="preserve">file to open it in RStudio.</w:t>
      </w:r>
    </w:p>
    <w:p>
      <w:pPr>
        <w:pStyle w:val="BodyText"/>
      </w:pPr>
      <w:r>
        <w:t xml:space="preserve">Create a new R script (using the button at the top-left of your window), and save it as</w:t>
      </w:r>
      <w:r>
        <w:t xml:space="preserve"> </w:t>
      </w:r>
      <w:r>
        <w:rPr>
          <w:b/>
          <w:bCs/>
        </w:rPr>
        <w:t xml:space="preserve">ARM2_meta-analysis.R</w:t>
      </w:r>
      <w:r>
        <w:t xml:space="preserve"> </w:t>
      </w:r>
      <w:r>
        <w:t xml:space="preserve">in your scripts folder.</w:t>
      </w:r>
    </w:p>
    <w:p>
      <w:pPr>
        <w:pStyle w:val="BodyText"/>
      </w:pPr>
      <w:r>
        <w:t xml:space="preserve">Start by loading the necessary packages for today’s exercises. You will need to first install the</w:t>
      </w:r>
      <w:r>
        <w:t xml:space="preserve"> </w:t>
      </w:r>
      <w:r>
        <w:rPr>
          <w:i/>
          <w:iCs/>
        </w:rPr>
        <w:t xml:space="preserve">metafor</w:t>
      </w:r>
      <w:r>
        <w:t xml:space="preserve"> </w:t>
      </w:r>
      <w:r>
        <w:t xml:space="preserve">package for meta-analysis by running</w:t>
      </w:r>
      <w:r>
        <w:t xml:space="preserve"> </w:t>
      </w:r>
      <w:r>
        <w:rPr>
          <w:rStyle w:val="VerbatimChar"/>
        </w:rPr>
        <w:t xml:space="preserve">install.packages("metafor")</w:t>
      </w:r>
      <w:r>
        <w:t xml:space="preserve">. You should only need to run this once on any device, so you don’t need to add this to your script. We will also be using the</w:t>
      </w:r>
      <w:r>
        <w:t xml:space="preserve"> </w:t>
      </w:r>
      <w:r>
        <w:rPr>
          <w:i/>
          <w:iCs/>
        </w:rPr>
        <w:t xml:space="preserve">tidyverse</w:t>
      </w:r>
      <w:r>
        <w:t xml:space="preserve"> </w:t>
      </w:r>
      <w:r>
        <w:t xml:space="preserve">package for some basic data manipulation tasks. This is already installed on university machines, but you might need to install it in the same way if you are working on a personal device.</w:t>
      </w:r>
    </w:p>
    <w:p>
      <w:pPr>
        <w:pStyle w:val="BodyText"/>
      </w:pPr>
      <w:r>
        <w:t xml:space="preserve">Once you’ve installed the packages, add the following lines to the top of your script and run them to load the packages.</w:t>
      </w:r>
    </w:p>
    <w:p>
      <w:pPr>
        <w:pStyle w:val="SourceCode"/>
      </w:pPr>
      <w:r>
        <w:rPr>
          <w:rStyle w:val="CommentTok"/>
        </w:rPr>
        <w:t xml:space="preserve"># Load packages</w:t>
      </w:r>
      <w:r>
        <w:br/>
      </w:r>
      <w:r>
        <w:rPr>
          <w:rStyle w:val="FunctionTok"/>
        </w:rPr>
        <w:t xml:space="preserve">library</w:t>
      </w:r>
      <w:r>
        <w:rPr>
          <w:rStyle w:val="NormalTok"/>
        </w:rPr>
        <w:t xml:space="preserve">(tidyverse) </w:t>
      </w:r>
      <w:r>
        <w:rPr>
          <w:rStyle w:val="CommentTok"/>
        </w:rPr>
        <w:t xml:space="preserve"># for data cleaning</w:t>
      </w:r>
      <w:r>
        <w:br/>
      </w:r>
      <w:r>
        <w:rPr>
          <w:rStyle w:val="FunctionTok"/>
        </w:rPr>
        <w:t xml:space="preserve">library</w:t>
      </w:r>
      <w:r>
        <w:rPr>
          <w:rStyle w:val="NormalTok"/>
        </w:rPr>
        <w:t xml:space="preserve">(metafor)   </w:t>
      </w:r>
      <w:r>
        <w:rPr>
          <w:rStyle w:val="CommentTok"/>
        </w:rPr>
        <w:t xml:space="preserve"># for meta-analysis</w:t>
      </w:r>
    </w:p>
    <w:p>
      <w:pPr>
        <w:pStyle w:val="FirstParagraph"/>
      </w:pPr>
      <w:r>
        <w:t xml:space="preserve">The next step is to load the data. If you have opened your R project and have saved the data in the data folder, you should be able to read it in as follows.</w:t>
      </w:r>
    </w:p>
    <w:p>
      <w:pPr>
        <w:pStyle w:val="SourceCode"/>
      </w:pPr>
      <w:r>
        <w:rPr>
          <w:rStyle w:val="CommentTok"/>
        </w:rPr>
        <w:t xml:space="preserve"># Read in extracted effect sizes and study info</w:t>
      </w:r>
      <w:r>
        <w:br/>
      </w:r>
      <w:r>
        <w:rPr>
          <w:rStyle w:val="NormalTok"/>
        </w:rPr>
        <w:t xml:space="preserve">full_dat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"./data/ARM2_data_srt_complete.csv"</w:t>
      </w:r>
      <w:r>
        <w:rPr>
          <w:rStyle w:val="NormalTok"/>
        </w:rPr>
        <w:t xml:space="preserve">)</w:t>
      </w:r>
    </w:p>
    <w:p>
      <w:pPr>
        <w:pStyle w:val="FirstParagraph"/>
      </w:pPr>
      <w:r>
        <w:t xml:space="preserve">The dataset includes studies of people with dyslexia as well as those without reading difficulties. Let’s start by focusing just on those individuals without reading difficulties. We can do this using the</w:t>
      </w:r>
      <w:r>
        <w:t xml:space="preserve"> </w:t>
      </w:r>
      <w:r>
        <w:rPr>
          <w:rStyle w:val="VerbatimChar"/>
        </w:rPr>
        <w:t xml:space="preserve">filter()</w:t>
      </w:r>
      <w:r>
        <w:t xml:space="preserve"> </w:t>
      </w:r>
      <w:r>
        <w:t xml:space="preserve">function from the</w:t>
      </w:r>
      <w:r>
        <w:t xml:space="preserve"> </w:t>
      </w:r>
      <w:r>
        <w:rPr>
          <w:i/>
          <w:iCs/>
        </w:rPr>
        <w:t xml:space="preserve">tidyverse</w:t>
      </w:r>
      <w:r>
        <w:t xml:space="preserve"> </w:t>
      </w:r>
      <w:r>
        <w:t xml:space="preserve">package that we loaded above. We tell R to filter (or subset) the dataset to keep the rows where the</w:t>
      </w:r>
      <w:r>
        <w:t xml:space="preserve"> </w:t>
      </w:r>
      <w:r>
        <w:rPr>
          <w:rStyle w:val="VerbatimChar"/>
        </w:rPr>
        <w:t xml:space="preserve">Group</w:t>
      </w:r>
      <w:r>
        <w:t xml:space="preserve"> </w:t>
      </w:r>
      <w:r>
        <w:t xml:space="preserve">column is listed as</w:t>
      </w:r>
      <w:r>
        <w:t xml:space="preserve"> </w:t>
      </w:r>
      <w:r>
        <w:t xml:space="preserve">“TD”</w:t>
      </w:r>
      <w:r>
        <w:t xml:space="preserve">, and store the result as</w:t>
      </w:r>
      <w:r>
        <w:t xml:space="preserve"> </w:t>
      </w:r>
      <w:r>
        <w:rPr>
          <w:rStyle w:val="VerbatimChar"/>
        </w:rPr>
        <w:t xml:space="preserve">td_dat</w:t>
      </w:r>
      <w:r>
        <w:t xml:space="preserve">.</w:t>
      </w:r>
    </w:p>
    <w:p>
      <w:pPr>
        <w:pStyle w:val="SourceCode"/>
      </w:pPr>
      <w:r>
        <w:rPr>
          <w:rStyle w:val="NormalTok"/>
        </w:rPr>
        <w:t xml:space="preserve">td_dat </w:t>
      </w:r>
      <w:r>
        <w:rPr>
          <w:rStyle w:val="OtherTok"/>
        </w:rPr>
        <w:t xml:space="preserve">&lt;-</w:t>
      </w:r>
      <w:r>
        <w:rPr>
          <w:rStyle w:val="NormalTok"/>
        </w:rPr>
        <w:t xml:space="preserve"> </w:t>
      </w:r>
      <w:r>
        <w:rPr>
          <w:rStyle w:val="FunctionTok"/>
        </w:rPr>
        <w:t xml:space="preserve">filter</w:t>
      </w:r>
      <w:r>
        <w:rPr>
          <w:rStyle w:val="NormalTok"/>
        </w:rPr>
        <w:t xml:space="preserve">(full_dat, Group </w:t>
      </w:r>
      <w:r>
        <w:rPr>
          <w:rStyle w:val="SpecialCharTok"/>
        </w:rPr>
        <w:t xml:space="preserve">==</w:t>
      </w:r>
      <w:r>
        <w:rPr>
          <w:rStyle w:val="NormalTok"/>
        </w:rPr>
        <w:t xml:space="preserve"> </w:t>
      </w:r>
      <w:r>
        <w:rPr>
          <w:rStyle w:val="StringTok"/>
        </w:rPr>
        <w:t xml:space="preserve">"TD"</w:t>
      </w:r>
      <w:r>
        <w:rPr>
          <w:rStyle w:val="NormalTok"/>
        </w:rPr>
        <w:t xml:space="preserve">)</w:t>
      </w:r>
    </w:p>
    <w:bookmarkEnd w:id="25"/>
    <w:bookmarkStart w:id="26" w:name="compute-sampling-variance"/>
    <w:p>
      <w:pPr>
        <w:pStyle w:val="Heading2"/>
      </w:pPr>
      <w:r>
        <w:t xml:space="preserve">2.3 Compute sampling variance</w:t>
      </w:r>
    </w:p>
    <w:p>
      <w:pPr>
        <w:pStyle w:val="FirstParagraph"/>
      </w:pPr>
      <w:r>
        <w:t xml:space="preserve">The dataset includes a correlation coefficient for each study, which is our effect size for this meta-analysis. It quantifies the direction and strength of relationship between SRT task performance and reading ability. However, some of the studies have much larger sample sizes than others. Use</w:t>
      </w:r>
      <w:r>
        <w:t xml:space="preserve"> </w:t>
      </w:r>
      <w:r>
        <w:rPr>
          <w:rStyle w:val="VerbatimChar"/>
        </w:rPr>
        <w:t xml:space="preserve">min(td_dat$N)</w:t>
      </w:r>
      <w:r>
        <w:t xml:space="preserve"> </w:t>
      </w:r>
      <w:r>
        <w:t xml:space="preserve">to identify the smallest sample size in the dataset, and then use the</w:t>
      </w:r>
      <w:r>
        <w:t xml:space="preserve"> </w:t>
      </w:r>
      <w:r>
        <w:rPr>
          <w:rStyle w:val="VerbatimChar"/>
        </w:rPr>
        <w:t xml:space="preserve">max()</w:t>
      </w:r>
      <w:r>
        <w:t xml:space="preserve"> </w:t>
      </w:r>
      <w:r>
        <w:t xml:space="preserve">function to identify the largest.</w:t>
      </w:r>
    </w:p>
    <w:p>
      <w:pPr>
        <w:pStyle w:val="BodyText"/>
      </w:pPr>
      <w:r>
        <w:t xml:space="preserve">To capture this uncertainty around the correlation estimates, we should compute their variance ahead of running the meta-analysis. Our meta-analysis package provides a handy function for doing this:</w:t>
      </w:r>
    </w:p>
    <w:p>
      <w:pPr>
        <w:pStyle w:val="SourceCode"/>
      </w:pPr>
      <w:r>
        <w:rPr>
          <w:rStyle w:val="NormalTok"/>
        </w:rPr>
        <w:t xml:space="preserve">td_dat_var </w:t>
      </w:r>
      <w:r>
        <w:rPr>
          <w:rStyle w:val="OtherTok"/>
        </w:rPr>
        <w:t xml:space="preserve">&lt;-</w:t>
      </w:r>
      <w:r>
        <w:rPr>
          <w:rStyle w:val="NormalTok"/>
        </w:rPr>
        <w:t xml:space="preserve"> </w:t>
      </w:r>
      <w:r>
        <w:rPr>
          <w:rStyle w:val="FunctionTok"/>
        </w:rPr>
        <w:t xml:space="preserve">escalc</w:t>
      </w:r>
      <w:r>
        <w:rPr>
          <w:rStyle w:val="NormalTok"/>
        </w:rPr>
        <w:t xml:space="preserve">(</w:t>
      </w:r>
      <w:r>
        <w:rPr>
          <w:rStyle w:val="AttributeTok"/>
        </w:rPr>
        <w:t xml:space="preserve">measure =</w:t>
      </w:r>
      <w:r>
        <w:rPr>
          <w:rStyle w:val="NormalTok"/>
        </w:rPr>
        <w:t xml:space="preserve"> </w:t>
      </w:r>
      <w:r>
        <w:rPr>
          <w:rStyle w:val="StringTok"/>
        </w:rPr>
        <w:t xml:space="preserve">"COR"</w:t>
      </w:r>
      <w:r>
        <w:rPr>
          <w:rStyle w:val="NormalTok"/>
        </w:rPr>
        <w:t xml:space="preserve">,   </w:t>
      </w:r>
      <w:r>
        <w:rPr>
          <w:rStyle w:val="CommentTok"/>
        </w:rPr>
        <w:t xml:space="preserve"># specify effect size measure</w:t>
      </w:r>
      <w:r>
        <w:br/>
      </w:r>
      <w:r>
        <w:rPr>
          <w:rStyle w:val="NormalTok"/>
        </w:rPr>
        <w:t xml:space="preserve">                     </w:t>
      </w:r>
      <w:r>
        <w:rPr>
          <w:rStyle w:val="AttributeTok"/>
        </w:rPr>
        <w:t xml:space="preserve">ri =</w:t>
      </w:r>
      <w:r>
        <w:rPr>
          <w:rStyle w:val="NormalTok"/>
        </w:rPr>
        <w:t xml:space="preserve"> Cor,          </w:t>
      </w:r>
      <w:r>
        <w:rPr>
          <w:rStyle w:val="CommentTok"/>
        </w:rPr>
        <w:t xml:space="preserve"># specify correlation variable</w:t>
      </w:r>
      <w:r>
        <w:br/>
      </w:r>
      <w:r>
        <w:rPr>
          <w:rStyle w:val="NormalTok"/>
        </w:rPr>
        <w:t xml:space="preserve">                     </w:t>
      </w:r>
      <w:r>
        <w:rPr>
          <w:rStyle w:val="AttributeTok"/>
        </w:rPr>
        <w:t xml:space="preserve">ni =</w:t>
      </w:r>
      <w:r>
        <w:rPr>
          <w:rStyle w:val="NormalTok"/>
        </w:rPr>
        <w:t xml:space="preserve"> N,            </w:t>
      </w:r>
      <w:r>
        <w:rPr>
          <w:rStyle w:val="CommentTok"/>
        </w:rPr>
        <w:t xml:space="preserve"># specify sample size variable</w:t>
      </w:r>
      <w:r>
        <w:br/>
      </w:r>
      <w:r>
        <w:rPr>
          <w:rStyle w:val="NormalTok"/>
        </w:rPr>
        <w:t xml:space="preserve">                     </w:t>
      </w:r>
      <w:r>
        <w:rPr>
          <w:rStyle w:val="AttributeTok"/>
        </w:rPr>
        <w:t xml:space="preserve">data =</w:t>
      </w:r>
      <w:r>
        <w:rPr>
          <w:rStyle w:val="NormalTok"/>
        </w:rPr>
        <w:t xml:space="preserve"> td_dat)     </w:t>
      </w:r>
      <w:r>
        <w:rPr>
          <w:rStyle w:val="CommentTok"/>
        </w:rPr>
        <w:t xml:space="preserve"># dataset</w:t>
      </w:r>
    </w:p>
    <w:p>
      <w:pPr>
        <w:pStyle w:val="FirstParagraph"/>
      </w:pPr>
      <w:r>
        <w:t xml:space="preserve">If you look to your Environment window (top right), you should now see an object called</w:t>
      </w:r>
      <w:r>
        <w:t xml:space="preserve"> </w:t>
      </w:r>
      <w:r>
        <w:rPr>
          <w:rStyle w:val="VerbatimChar"/>
        </w:rPr>
        <w:t xml:space="preserve">td_dat_var</w:t>
      </w:r>
      <w:r>
        <w:t xml:space="preserve">. If you click the grid to open it, you should find two extra columns at the end:</w:t>
      </w:r>
    </w:p>
    <w:p>
      <w:pPr>
        <w:pStyle w:val="Compact"/>
        <w:numPr>
          <w:ilvl w:val="0"/>
          <w:numId w:val="1004"/>
        </w:numPr>
      </w:pPr>
      <w:r>
        <w:rPr>
          <w:b/>
          <w:bCs/>
        </w:rPr>
        <w:t xml:space="preserve">yi</w:t>
      </w:r>
      <w:r>
        <w:rPr>
          <w:b/>
          <w:bCs/>
          <w:i/>
          <w:iCs/>
        </w:rPr>
        <w:t xml:space="preserve">:</w:t>
      </w:r>
      <w:r>
        <w:t xml:space="preserve"> </w:t>
      </w:r>
      <w:r>
        <w:t xml:space="preserve">your effect size, which in this case is identical to the one in the Cor column as we haven’t asked it to do any kind of transformation</w:t>
      </w:r>
    </w:p>
    <w:p>
      <w:pPr>
        <w:pStyle w:val="Compact"/>
        <w:numPr>
          <w:ilvl w:val="0"/>
          <w:numId w:val="1004"/>
        </w:numPr>
      </w:pPr>
      <w:r>
        <w:rPr>
          <w:b/>
          <w:bCs/>
        </w:rPr>
        <w:t xml:space="preserve">vi:</w:t>
      </w:r>
      <w:r>
        <w:t xml:space="preserve"> </w:t>
      </w:r>
      <w:r>
        <w:t xml:space="preserve">your sampling variances, which have now been calculated based on the correlation coefficient and sample size</w:t>
      </w:r>
    </w:p>
    <w:p>
      <w:pPr>
        <w:pStyle w:val="FirstParagraph"/>
      </w:pPr>
      <w:r>
        <w:t xml:space="preserve">Now we’re ready to run the analysis!</w:t>
      </w:r>
    </w:p>
    <w:p>
      <w:r>
        <w:pict>
          <v:rect style="width:0;height:1.5pt" o:hralign="center" o:hrstd="t" o:hr="t"/>
        </w:pict>
      </w:r>
    </w:p>
    <w:bookmarkEnd w:id="26"/>
    <w:bookmarkEnd w:id="27"/>
    <w:bookmarkStart w:id="30" w:name="computing-pooled-effect-sizes"/>
    <w:p>
      <w:pPr>
        <w:pStyle w:val="Heading1"/>
      </w:pPr>
      <w:r>
        <w:t xml:space="preserve">3. Computing pooled effect sizes</w:t>
      </w:r>
    </w:p>
    <w:p>
      <w:pPr>
        <w:pStyle w:val="FirstParagraph"/>
      </w:pPr>
      <w:r>
        <w:t xml:space="preserve">In the lecture, you learned about fixed and random effects meta-analyses. Let’s have a go at running both.</w:t>
      </w:r>
    </w:p>
    <w:bookmarkStart w:id="28" w:name="fixed-effects-meta-analysis"/>
    <w:p>
      <w:pPr>
        <w:pStyle w:val="Heading2"/>
      </w:pPr>
      <w:r>
        <w:t xml:space="preserve">3.1 Fixed effects meta-analysis</w:t>
      </w:r>
    </w:p>
    <w:p>
      <w:pPr>
        <w:pStyle w:val="FirstParagraph"/>
      </w:pPr>
      <w:r>
        <w:t xml:space="preserve">In a fixed effects analysis, we assume that all studies are measuring the same underlying true effect size, and calculate the average effect size across the included studies. Use the</w:t>
      </w:r>
      <w:r>
        <w:t xml:space="preserve"> </w:t>
      </w:r>
      <w:r>
        <w:rPr>
          <w:rStyle w:val="VerbatimChar"/>
        </w:rPr>
        <w:t xml:space="preserve">rma()</w:t>
      </w:r>
      <w:r>
        <w:t xml:space="preserve"> </w:t>
      </w:r>
      <w:r>
        <w:t xml:space="preserve">function to run this as follows:</w:t>
      </w:r>
    </w:p>
    <w:p>
      <w:pPr>
        <w:pStyle w:val="SourceCode"/>
      </w:pPr>
      <w:r>
        <w:rPr>
          <w:rStyle w:val="CommentTok"/>
        </w:rPr>
        <w:t xml:space="preserve"># Fixed effects model</w:t>
      </w:r>
      <w:r>
        <w:br/>
      </w:r>
      <w:r>
        <w:rPr>
          <w:rStyle w:val="NormalTok"/>
        </w:rPr>
        <w:t xml:space="preserve">fixed_mod </w:t>
      </w:r>
      <w:r>
        <w:rPr>
          <w:rStyle w:val="OtherTok"/>
        </w:rPr>
        <w:t xml:space="preserve">&lt;-</w:t>
      </w:r>
      <w:r>
        <w:rPr>
          <w:rStyle w:val="NormalTok"/>
        </w:rPr>
        <w:t xml:space="preserve"> </w:t>
      </w:r>
      <w:r>
        <w:rPr>
          <w:rStyle w:val="FunctionTok"/>
        </w:rPr>
        <w:t xml:space="preserve">rma</w:t>
      </w:r>
      <w:r>
        <w:rPr>
          <w:rStyle w:val="NormalTok"/>
        </w:rPr>
        <w:t xml:space="preserve">(</w:t>
      </w:r>
      <w:r>
        <w:rPr>
          <w:rStyle w:val="AttributeTok"/>
        </w:rPr>
        <w:t xml:space="preserve">yi =</w:t>
      </w:r>
      <w:r>
        <w:rPr>
          <w:rStyle w:val="NormalTok"/>
        </w:rPr>
        <w:t xml:space="preserve"> yi, </w:t>
      </w:r>
      <w:r>
        <w:rPr>
          <w:rStyle w:val="AttributeTok"/>
        </w:rPr>
        <w:t xml:space="preserve">vi =</w:t>
      </w:r>
      <w:r>
        <w:rPr>
          <w:rStyle w:val="NormalTok"/>
        </w:rPr>
        <w:t xml:space="preserve"> vi,</w:t>
      </w:r>
      <w:r>
        <w:br/>
      </w:r>
      <w:r>
        <w:rPr>
          <w:rStyle w:val="NormalTok"/>
        </w:rPr>
        <w:t xml:space="preserve">                 </w:t>
      </w:r>
      <w:r>
        <w:rPr>
          <w:rStyle w:val="AttributeTok"/>
        </w:rPr>
        <w:t xml:space="preserve">method =</w:t>
      </w:r>
      <w:r>
        <w:rPr>
          <w:rStyle w:val="NormalTok"/>
        </w:rPr>
        <w:t xml:space="preserve"> </w:t>
      </w:r>
      <w:r>
        <w:rPr>
          <w:rStyle w:val="StringTok"/>
        </w:rPr>
        <w:t xml:space="preserve">"FE"</w:t>
      </w:r>
      <w:r>
        <w:rPr>
          <w:rStyle w:val="NormalTok"/>
        </w:rPr>
        <w:t xml:space="preserve">, </w:t>
      </w:r>
      <w:r>
        <w:rPr>
          <w:rStyle w:val="AttributeTok"/>
        </w:rPr>
        <w:t xml:space="preserve">data =</w:t>
      </w:r>
      <w:r>
        <w:rPr>
          <w:rStyle w:val="NormalTok"/>
        </w:rPr>
        <w:t xml:space="preserve"> td_dat_var)</w:t>
      </w:r>
    </w:p>
    <w:p>
      <w:pPr>
        <w:pStyle w:val="FirstParagraph"/>
      </w:pPr>
      <w:r>
        <w:t xml:space="preserve">We’ve specified the variables with our effect size estimates and sampling variance (already conveniently named the same by the</w:t>
      </w:r>
      <w:r>
        <w:t xml:space="preserve"> </w:t>
      </w:r>
      <w:r>
        <w:rPr>
          <w:rStyle w:val="VerbatimChar"/>
        </w:rPr>
        <w:t xml:space="preserve">escalc()</w:t>
      </w:r>
      <w:r>
        <w:t xml:space="preserve"> </w:t>
      </w:r>
      <w:r>
        <w:t xml:space="preserve">function above). We’ve then specified the</w:t>
      </w:r>
      <w:r>
        <w:t xml:space="preserve"> </w:t>
      </w:r>
      <w:r>
        <w:t xml:space="preserve">“FE”</w:t>
      </w:r>
      <w:r>
        <w:t xml:space="preserve"> </w:t>
      </w:r>
      <w:r>
        <w:t xml:space="preserve">method for fixed effects, and the dataset to use.</w:t>
      </w:r>
    </w:p>
    <w:p>
      <w:pPr>
        <w:pStyle w:val="BodyText"/>
      </w:pPr>
      <w:r>
        <w:t xml:space="preserve">Use the</w:t>
      </w:r>
      <w:r>
        <w:t xml:space="preserve"> </w:t>
      </w:r>
      <w:r>
        <w:rPr>
          <w:rStyle w:val="VerbatimChar"/>
        </w:rPr>
        <w:t xml:space="preserve">summary()</w:t>
      </w:r>
      <w:r>
        <w:t xml:space="preserve"> </w:t>
      </w:r>
      <w:r>
        <w:t xml:space="preserve">function on the model object to inspect the results.</w:t>
      </w:r>
    </w:p>
    <w:p>
      <w:pPr>
        <w:pStyle w:val="BodyText"/>
      </w:pPr>
      <w:r>
        <w:t xml:space="preserve">The output tells us that we ran a Fixed-Effects model with 73 effect sizes. The pooled estimate for the correlation coefficient is ~0.04, showing a very small yet statistically significant correlation.</w:t>
      </w:r>
    </w:p>
    <w:bookmarkEnd w:id="28"/>
    <w:bookmarkStart w:id="29" w:name="random-effects-meta-analysis"/>
    <w:p>
      <w:pPr>
        <w:pStyle w:val="Heading2"/>
      </w:pPr>
      <w:r>
        <w:t xml:space="preserve">3.2 Random effects meta-analysis</w:t>
      </w:r>
    </w:p>
    <w:p>
      <w:pPr>
        <w:pStyle w:val="FirstParagraph"/>
      </w:pPr>
      <w:r>
        <w:t xml:space="preserve">The random effects model assumes that the samples in the meta-analysis are a random sample from a larger population of studies that could plausibly have been/will be conducted. We can fit this alternative model simply by changing the</w:t>
      </w:r>
      <w:r>
        <w:t xml:space="preserve"> </w:t>
      </w:r>
      <w:r>
        <w:rPr>
          <w:rStyle w:val="VerbatimChar"/>
        </w:rPr>
        <w:t xml:space="preserve">method</w:t>
      </w:r>
      <w:r>
        <w:t xml:space="preserve"> </w:t>
      </w:r>
      <w:r>
        <w:t xml:space="preserve">argument within the meta-analysis function. The package provides several different ways to estimate the heterogeneity between studies (you can see these listed in the documentation by running</w:t>
      </w:r>
      <w:r>
        <w:t xml:space="preserve"> </w:t>
      </w:r>
      <w:r>
        <w:rPr>
          <w:rStyle w:val="VerbatimChar"/>
        </w:rPr>
        <w:t xml:space="preserve">help(rma)</w:t>
      </w:r>
      <w:r>
        <w:t xml:space="preserve">), but for now we will stick with the default option.</w:t>
      </w:r>
    </w:p>
    <w:p>
      <w:pPr>
        <w:pStyle w:val="SourceCode"/>
      </w:pPr>
      <w:r>
        <w:rPr>
          <w:rStyle w:val="CommentTok"/>
        </w:rPr>
        <w:t xml:space="preserve"># Random effects model</w:t>
      </w:r>
      <w:r>
        <w:br/>
      </w:r>
      <w:r>
        <w:rPr>
          <w:rStyle w:val="NormalTok"/>
        </w:rPr>
        <w:t xml:space="preserve">random_mod </w:t>
      </w:r>
      <w:r>
        <w:rPr>
          <w:rStyle w:val="OtherTok"/>
        </w:rPr>
        <w:t xml:space="preserve">&lt;-</w:t>
      </w:r>
      <w:r>
        <w:rPr>
          <w:rStyle w:val="NormalTok"/>
        </w:rPr>
        <w:t xml:space="preserve"> </w:t>
      </w:r>
      <w:r>
        <w:rPr>
          <w:rStyle w:val="FunctionTok"/>
        </w:rPr>
        <w:t xml:space="preserve">rma</w:t>
      </w:r>
      <w:r>
        <w:rPr>
          <w:rStyle w:val="NormalTok"/>
        </w:rPr>
        <w:t xml:space="preserve">(</w:t>
      </w:r>
      <w:r>
        <w:rPr>
          <w:rStyle w:val="AttributeTok"/>
        </w:rPr>
        <w:t xml:space="preserve">yi =</w:t>
      </w:r>
      <w:r>
        <w:rPr>
          <w:rStyle w:val="NormalTok"/>
        </w:rPr>
        <w:t xml:space="preserve"> yi, </w:t>
      </w:r>
      <w:r>
        <w:rPr>
          <w:rStyle w:val="AttributeTok"/>
        </w:rPr>
        <w:t xml:space="preserve">vi =</w:t>
      </w:r>
      <w:r>
        <w:rPr>
          <w:rStyle w:val="NormalTok"/>
        </w:rPr>
        <w:t xml:space="preserve"> vi,</w:t>
      </w:r>
      <w:r>
        <w:br/>
      </w:r>
      <w:r>
        <w:rPr>
          <w:rStyle w:val="NormalTok"/>
        </w:rPr>
        <w:t xml:space="preserve">                 </w:t>
      </w:r>
      <w:r>
        <w:rPr>
          <w:rStyle w:val="AttributeTok"/>
        </w:rPr>
        <w:t xml:space="preserve">method =</w:t>
      </w:r>
      <w:r>
        <w:rPr>
          <w:rStyle w:val="NormalTok"/>
        </w:rPr>
        <w:t xml:space="preserve"> </w:t>
      </w:r>
      <w:r>
        <w:rPr>
          <w:rStyle w:val="StringTok"/>
        </w:rPr>
        <w:t xml:space="preserve">"REML"</w:t>
      </w:r>
      <w:r>
        <w:rPr>
          <w:rStyle w:val="NormalTok"/>
        </w:rPr>
        <w:t xml:space="preserve">, </w:t>
      </w:r>
      <w:r>
        <w:rPr>
          <w:rStyle w:val="AttributeTok"/>
        </w:rPr>
        <w:t xml:space="preserve">data =</w:t>
      </w:r>
      <w:r>
        <w:rPr>
          <w:rStyle w:val="NormalTok"/>
        </w:rPr>
        <w:t xml:space="preserve"> td_dat_var)</w:t>
      </w:r>
      <w:r>
        <w:br/>
      </w:r>
      <w:r>
        <w:rPr>
          <w:rStyle w:val="FunctionTok"/>
        </w:rPr>
        <w:t xml:space="preserve">summary</w:t>
      </w:r>
      <w:r>
        <w:rPr>
          <w:rStyle w:val="NormalTok"/>
        </w:rPr>
        <w:t xml:space="preserve">(random_mod)</w:t>
      </w:r>
    </w:p>
    <w:p>
      <w:pPr>
        <w:pStyle w:val="FirstParagraph"/>
      </w:pPr>
      <w:r>
        <w:t xml:space="preserve">You should see from the results that the coefficient estimate has shrunk slightly and is no longer significant. These are both valid models but have different inferences: the fixed effects model tells us that there is a very small but significant correlation across the available datasets, but when we consider heterogeneity between effect sizes in the random effects model, we see that this effect size is likely even smaller in the wider population.</w:t>
      </w:r>
    </w:p>
    <w:p>
      <w:r>
        <w:pict>
          <v:rect style="width:0;height:1.5pt" o:hralign="center" o:hrstd="t" o:hr="t"/>
        </w:pict>
      </w:r>
    </w:p>
    <w:bookmarkEnd w:id="29"/>
    <w:bookmarkEnd w:id="30"/>
    <w:bookmarkStart w:id="33" w:name="weighting-studies"/>
    <w:p>
      <w:pPr>
        <w:pStyle w:val="Heading1"/>
      </w:pPr>
      <w:r>
        <w:t xml:space="preserve">4. Weighting studies</w:t>
      </w:r>
    </w:p>
    <w:p>
      <w:pPr>
        <w:pStyle w:val="FirstParagraph"/>
      </w:pPr>
      <w:r>
        <w:t xml:space="preserve">We saw in Section 2 that the variation in sample size was very large. We should consider this in our analysis: a very large study likely provides a better estimate of the true effect size than a very small study.</w:t>
      </w:r>
    </w:p>
    <w:bookmarkStart w:id="31" w:name="Xafb338b5fa20d7910b5397e4b330a799e7df68e"/>
    <w:p>
      <w:pPr>
        <w:pStyle w:val="Heading2"/>
      </w:pPr>
      <w:r>
        <w:t xml:space="preserve">4.1 Under the hood: computing inverse variance</w:t>
      </w:r>
    </w:p>
    <w:p>
      <w:pPr>
        <w:pStyle w:val="FirstParagraph"/>
      </w:pPr>
      <w:r>
        <w:t xml:space="preserve">One of the most common ways to do this is via inverse-variance, which the</w:t>
      </w:r>
      <w:r>
        <w:t xml:space="preserve"> </w:t>
      </w:r>
      <w:r>
        <w:rPr>
          <w:rStyle w:val="VerbatimChar"/>
        </w:rPr>
        <w:t xml:space="preserve">rma()</w:t>
      </w:r>
      <w:r>
        <w:t xml:space="preserve"> </w:t>
      </w:r>
      <w:r>
        <w:t xml:space="preserve">function does by default. If you inspect your</w:t>
      </w:r>
      <w:r>
        <w:t xml:space="preserve"> </w:t>
      </w:r>
      <w:r>
        <w:rPr>
          <w:rStyle w:val="VerbatimChar"/>
        </w:rPr>
        <w:t xml:space="preserve">td_dat_var</w:t>
      </w:r>
      <w:r>
        <w:t xml:space="preserve"> </w:t>
      </w:r>
      <w:r>
        <w:t xml:space="preserve">data frame, you will see that the smaller samples have the highest variance (</w:t>
      </w:r>
      <w:r>
        <w:rPr>
          <w:rStyle w:val="VerbatimChar"/>
        </w:rPr>
        <w:t xml:space="preserve">vi</w:t>
      </w:r>
      <w:r>
        <w:t xml:space="preserve">). You can click on the column header to order the data by this variable, so that you can see this for yourself.</w:t>
      </w:r>
    </w:p>
    <w:p>
      <w:pPr>
        <w:pStyle w:val="BodyText"/>
      </w:pPr>
      <w:r>
        <w:t xml:space="preserve">To use this variance in the analysis, the model uses the</w:t>
      </w:r>
      <w:r>
        <w:t xml:space="preserve"> </w:t>
      </w:r>
      <w:r>
        <w:rPr>
          <w:i/>
          <w:iCs/>
        </w:rPr>
        <w:t xml:space="preserve">inverse</w:t>
      </w:r>
      <w:r>
        <w:t xml:space="preserve"> </w:t>
      </w:r>
      <w:r>
        <w:t xml:space="preserve">(</w:t>
      </w:r>
      <w:r>
        <w:rPr>
          <w:rStyle w:val="VerbatimChar"/>
        </w:rPr>
        <w:t xml:space="preserve">1/variance</w:t>
      </w:r>
      <w:r>
        <w:t xml:space="preserve">), so that smaller samples have the smallest weighting. The function does this under the hood, but you can see what this looks like by calculating it for yourself:</w:t>
      </w:r>
    </w:p>
    <w:p>
      <w:pPr>
        <w:pStyle w:val="SourceCode"/>
      </w:pPr>
      <w:r>
        <w:rPr>
          <w:rStyle w:val="NormalTok"/>
        </w:rPr>
        <w:t xml:space="preserve">td_dat_inv </w:t>
      </w:r>
      <w:r>
        <w:rPr>
          <w:rStyle w:val="OtherTok"/>
        </w:rPr>
        <w:t xml:space="preserve">&lt;-</w:t>
      </w:r>
      <w:r>
        <w:rPr>
          <w:rStyle w:val="NormalTok"/>
        </w:rPr>
        <w:t xml:space="preserve"> </w:t>
      </w:r>
      <w:r>
        <w:rPr>
          <w:rStyle w:val="FunctionTok"/>
        </w:rPr>
        <w:t xml:space="preserve">mutate</w:t>
      </w:r>
      <w:r>
        <w:rPr>
          <w:rStyle w:val="NormalTok"/>
        </w:rPr>
        <w:t xml:space="preserve">(td_dat_var, </w:t>
      </w:r>
      <w:r>
        <w:rPr>
          <w:rStyle w:val="AttributeTok"/>
        </w:rPr>
        <w:t xml:space="preserve">inv_var =</w:t>
      </w:r>
      <w:r>
        <w:rPr>
          <w:rStyle w:val="NormalTok"/>
        </w:rPr>
        <w:t xml:space="preserve"> </w:t>
      </w:r>
      <w:r>
        <w:rPr>
          <w:rStyle w:val="DecValTok"/>
        </w:rPr>
        <w:t xml:space="preserve">1</w:t>
      </w:r>
      <w:r>
        <w:rPr>
          <w:rStyle w:val="SpecialCharTok"/>
        </w:rPr>
        <w:t xml:space="preserve">/</w:t>
      </w:r>
      <w:r>
        <w:rPr>
          <w:rStyle w:val="NormalTok"/>
        </w:rPr>
        <w:t xml:space="preserve">vi)</w:t>
      </w:r>
    </w:p>
    <w:p>
      <w:pPr>
        <w:pStyle w:val="FirstParagraph"/>
      </w:pPr>
      <w:r>
        <w:t xml:space="preserve">Here we used the</w:t>
      </w:r>
      <w:r>
        <w:t xml:space="preserve"> </w:t>
      </w:r>
      <w:r>
        <w:rPr>
          <w:rStyle w:val="VerbatimChar"/>
        </w:rPr>
        <w:t xml:space="preserve">mutate()</w:t>
      </w:r>
      <w:r>
        <w:t xml:space="preserve"> </w:t>
      </w:r>
      <w:r>
        <w:t xml:space="preserve">function (from the</w:t>
      </w:r>
      <w:r>
        <w:t xml:space="preserve"> </w:t>
      </w:r>
      <w:r>
        <w:rPr>
          <w:i/>
          <w:iCs/>
        </w:rPr>
        <w:t xml:space="preserve">tidyverse</w:t>
      </w:r>
      <w:r>
        <w:t xml:space="preserve"> </w:t>
      </w:r>
      <w:r>
        <w:t xml:space="preserve">package) to make a change to the existing dataframe</w:t>
      </w:r>
      <w:r>
        <w:t xml:space="preserve"> </w:t>
      </w:r>
      <w:r>
        <w:rPr>
          <w:rStyle w:val="VerbatimChar"/>
        </w:rPr>
        <w:t xml:space="preserve">td_dat_var</w:t>
      </w:r>
      <w:r>
        <w:t xml:space="preserve">. We provide the name of the new variable,</w:t>
      </w:r>
      <w:r>
        <w:t xml:space="preserve"> </w:t>
      </w:r>
      <w:r>
        <w:rPr>
          <w:rStyle w:val="VerbatimChar"/>
        </w:rPr>
        <w:t xml:space="preserve">inv_var</w:t>
      </w:r>
      <w:r>
        <w:t xml:space="preserve">, and specify that this variable should be computed as 1 divided by the variance variable</w:t>
      </w:r>
      <w:r>
        <w:t xml:space="preserve"> </w:t>
      </w:r>
      <w:r>
        <w:rPr>
          <w:rStyle w:val="VerbatimChar"/>
        </w:rPr>
        <w:t xml:space="preserve">vi</w:t>
      </w:r>
      <w:r>
        <w:t xml:space="preserve">. We assigned the new version of the dataset to a new object,</w:t>
      </w:r>
      <w:r>
        <w:t xml:space="preserve"> </w:t>
      </w:r>
      <w:r>
        <w:rPr>
          <w:rStyle w:val="VerbatimChar"/>
        </w:rPr>
        <w:t xml:space="preserve">td_dat_inv</w:t>
      </w:r>
      <w:r>
        <w:t xml:space="preserve">.</w:t>
      </w:r>
    </w:p>
    <w:p>
      <w:pPr>
        <w:pStyle w:val="BodyText"/>
      </w:pPr>
      <w:r>
        <w:t xml:space="preserve">Inspect this new object by clicking the grid icon in your Environment window. You should now see that your</w:t>
      </w:r>
      <w:r>
        <w:t xml:space="preserve"> </w:t>
      </w:r>
      <w:r>
        <w:rPr>
          <w:rStyle w:val="VerbatimChar"/>
        </w:rPr>
        <w:t xml:space="preserve">inv_var</w:t>
      </w:r>
      <w:r>
        <w:t xml:space="preserve"> </w:t>
      </w:r>
      <w:r>
        <w:t xml:space="preserve">column has larger numbers for studies with larger sample sizes (</w:t>
      </w:r>
      <w:r>
        <w:rPr>
          <w:rStyle w:val="VerbatimChar"/>
        </w:rPr>
        <w:t xml:space="preserve">N</w:t>
      </w:r>
      <w:r>
        <w:t xml:space="preserve">).</w:t>
      </w:r>
    </w:p>
    <w:bookmarkEnd w:id="31"/>
    <w:bookmarkStart w:id="32" w:name="changing-weights-in-the-meta-analysis"/>
    <w:p>
      <w:pPr>
        <w:pStyle w:val="Heading2"/>
      </w:pPr>
      <w:r>
        <w:t xml:space="preserve">4.2 Changing weights in the meta-analysis</w:t>
      </w:r>
    </w:p>
    <w:p>
      <w:pPr>
        <w:pStyle w:val="FirstParagraph"/>
      </w:pPr>
      <w:r>
        <w:t xml:space="preserve">Because weighting by inverse variance is a very common and sensible approach, the</w:t>
      </w:r>
      <w:r>
        <w:t xml:space="preserve"> </w:t>
      </w:r>
      <w:r>
        <w:rPr>
          <w:rStyle w:val="VerbatimChar"/>
        </w:rPr>
        <w:t xml:space="preserve">rma()</w:t>
      </w:r>
      <w:r>
        <w:t xml:space="preserve"> </w:t>
      </w:r>
      <w:r>
        <w:t xml:space="preserve">meta-analysis function does this by default. This means you’ve already weighted your samples in your above models!</w:t>
      </w:r>
    </w:p>
    <w:p>
      <w:pPr>
        <w:pStyle w:val="BodyText"/>
      </w:pPr>
      <w:r>
        <w:t xml:space="preserve">To compare, try fitting two new models (fixed, random) and include the argument</w:t>
      </w:r>
      <w:r>
        <w:t xml:space="preserve"> </w:t>
      </w:r>
      <w:r>
        <w:rPr>
          <w:rStyle w:val="VerbatimChar"/>
        </w:rPr>
        <w:t xml:space="preserve">weighted = FALSE</w:t>
      </w:r>
      <w:r>
        <w:t xml:space="preserve">. Use a different object name to store the model output, so that you can inspect the differences in output when you call</w:t>
      </w:r>
      <w:r>
        <w:t xml:space="preserve"> </w:t>
      </w:r>
      <w:r>
        <w:rPr>
          <w:rStyle w:val="VerbatimChar"/>
        </w:rPr>
        <w:t xml:space="preserve">summary()</w:t>
      </w:r>
      <w:r>
        <w:t xml:space="preserve">.</w:t>
      </w:r>
    </w:p>
    <w:p>
      <w:pPr>
        <w:pStyle w:val="BodyText"/>
      </w:pPr>
      <w:r>
        <w:t xml:space="preserve">Alternatively, you can try weighting by sample size alone, by setting</w:t>
      </w:r>
      <w:r>
        <w:t xml:space="preserve"> </w:t>
      </w:r>
      <w:r>
        <w:rPr>
          <w:rStyle w:val="VerbatimChar"/>
        </w:rPr>
        <w:t xml:space="preserve">weights = N</w:t>
      </w:r>
      <w:r>
        <w:t xml:space="preserve">.</w:t>
      </w:r>
    </w:p>
    <w:bookmarkEnd w:id="32"/>
    <w:bookmarkEnd w:id="33"/>
    <w:bookmarkStart w:id="34" w:name="displaying-results-with-forest-plots"/>
    <w:p>
      <w:pPr>
        <w:pStyle w:val="Heading1"/>
      </w:pPr>
      <w:r>
        <w:t xml:space="preserve">5. Displaying results with forest plots</w:t>
      </w:r>
    </w:p>
    <w:p>
      <w:pPr>
        <w:pStyle w:val="FirstParagraph"/>
      </w:pPr>
      <w:r>
        <w:t xml:space="preserve">An easy way to visualise the results is to use a forest plot, which can be generated using</w:t>
      </w:r>
      <w:r>
        <w:t xml:space="preserve"> </w:t>
      </w:r>
      <w:r>
        <w:rPr>
          <w:rStyle w:val="VerbatimChar"/>
        </w:rPr>
        <w:t xml:space="preserve">forest()</w:t>
      </w:r>
      <w:r>
        <w:t xml:space="preserve"> </w:t>
      </w:r>
      <w:r>
        <w:t xml:space="preserve">function. We simply give the function the name of our meta-analysis model object. We can also use the</w:t>
      </w:r>
      <w:r>
        <w:t xml:space="preserve"> </w:t>
      </w:r>
      <w:r>
        <w:rPr>
          <w:rStyle w:val="VerbatimChar"/>
        </w:rPr>
        <w:t xml:space="preserve">slab</w:t>
      </w:r>
      <w:r>
        <w:t xml:space="preserve"> </w:t>
      </w:r>
      <w:r>
        <w:t xml:space="preserve">argument to provide study labels, which we can take from the</w:t>
      </w:r>
      <w:r>
        <w:t xml:space="preserve"> </w:t>
      </w:r>
      <w:r>
        <w:rPr>
          <w:rStyle w:val="VerbatimChar"/>
        </w:rPr>
        <w:t xml:space="preserve">Study</w:t>
      </w:r>
      <w:r>
        <w:t xml:space="preserve"> </w:t>
      </w:r>
      <w:r>
        <w:t xml:space="preserve">column of the dataset we used.</w:t>
      </w:r>
    </w:p>
    <w:p>
      <w:pPr>
        <w:pStyle w:val="SourceCode"/>
      </w:pPr>
      <w:r>
        <w:rPr>
          <w:rStyle w:val="FunctionTok"/>
        </w:rPr>
        <w:t xml:space="preserve">forest</w:t>
      </w:r>
      <w:r>
        <w:rPr>
          <w:rStyle w:val="NormalTok"/>
        </w:rPr>
        <w:t xml:space="preserve">(fixed_mod, </w:t>
      </w:r>
      <w:r>
        <w:rPr>
          <w:rStyle w:val="AttributeTok"/>
        </w:rPr>
        <w:t xml:space="preserve">slab =</w:t>
      </w:r>
      <w:r>
        <w:rPr>
          <w:rStyle w:val="NormalTok"/>
        </w:rPr>
        <w:t xml:space="preserve"> td_dat_var</w:t>
      </w:r>
      <w:r>
        <w:rPr>
          <w:rStyle w:val="SpecialCharTok"/>
        </w:rPr>
        <w:t xml:space="preserve">$</w:t>
      </w:r>
      <w:r>
        <w:rPr>
          <w:rStyle w:val="NormalTok"/>
        </w:rPr>
        <w:t xml:space="preserve">Study)</w:t>
      </w:r>
    </w:p>
    <w:p>
      <w:pPr>
        <w:pStyle w:val="FirstParagraph"/>
      </w:pPr>
      <w:r>
        <w:t xml:space="preserve">Use the plot to ask yourself the following questions: How many individual samples showed significant effects? Were they positive or negative? Which study samples had the largest influence on the results?</w:t>
      </w:r>
    </w:p>
    <w:p>
      <w:pPr>
        <w:pStyle w:val="BodyText"/>
      </w:pPr>
      <w:r>
        <w:t xml:space="preserve">Create forest plots for the different models you ran above, and see how the pooled estimate at the bottom changes in whether it crosses the 0 line. You can use the forward and back arrows at the top of the plot window to switch between the different figures you’ve made.</w:t>
      </w:r>
    </w:p>
    <w:bookmarkEnd w:id="34"/>
    <w:bookmarkStart w:id="36" w:name="inspecting-for-publication-bias"/>
    <w:p>
      <w:pPr>
        <w:pStyle w:val="Heading1"/>
      </w:pPr>
      <w:r>
        <w:t xml:space="preserve">6. Inspecting for publication bias</w:t>
      </w:r>
    </w:p>
    <w:p>
      <w:pPr>
        <w:pStyle w:val="FirstParagraph"/>
      </w:pPr>
      <w:r>
        <w:t xml:space="preserve">Finally, let’s consider whether this analysis might be affected by publication bias. We can do this using a funnel plot:</w:t>
      </w:r>
    </w:p>
    <w:p>
      <w:pPr>
        <w:pStyle w:val="SourceCode"/>
      </w:pPr>
      <w:r>
        <w:rPr>
          <w:rStyle w:val="FunctionTok"/>
        </w:rPr>
        <w:t xml:space="preserve">funnel</w:t>
      </w:r>
      <w:r>
        <w:rPr>
          <w:rStyle w:val="NormalTok"/>
        </w:rPr>
        <w:t xml:space="preserve">(fixed_mod)</w:t>
      </w:r>
    </w:p>
    <w:p>
      <w:pPr>
        <w:pStyle w:val="FirstParagraph"/>
      </w:pPr>
      <w:r>
        <w:t xml:space="preserve">Take a look at</w:t>
      </w:r>
      <w:r>
        <w:t xml:space="preserve"> </w:t>
      </w:r>
      <w:hyperlink r:id="rId35">
        <w:r>
          <w:rPr>
            <w:rStyle w:val="Hyperlink"/>
          </w:rPr>
          <w:t xml:space="preserve">this linked guide for interpreting the funnel plots</w:t>
        </w:r>
      </w:hyperlink>
      <w:r>
        <w:t xml:space="preserve">. What do you conclude?</w:t>
      </w:r>
    </w:p>
    <w:p>
      <w:pPr>
        <w:pStyle w:val="BodyText"/>
      </w:pPr>
      <w:r>
        <w:t xml:space="preserve">There is also a statistical test for the asymmetry called</w:t>
      </w:r>
      <w:r>
        <w:t xml:space="preserve"> </w:t>
      </w:r>
      <w:r>
        <w:rPr>
          <w:i/>
          <w:iCs/>
        </w:rPr>
        <w:t xml:space="preserve">Egger’s regression test</w:t>
      </w:r>
      <w:r>
        <w:t xml:space="preserve">. There’s a built-in function for this in the</w:t>
      </w:r>
      <w:r>
        <w:t xml:space="preserve"> </w:t>
      </w:r>
      <w:r>
        <w:rPr>
          <w:i/>
          <w:iCs/>
        </w:rPr>
        <w:t xml:space="preserve">metafor</w:t>
      </w:r>
      <w:r>
        <w:t xml:space="preserve"> </w:t>
      </w:r>
      <w:r>
        <w:t xml:space="preserve">package. Search online to see if you can find the relevant function, then apply it here.</w:t>
      </w:r>
    </w:p>
    <w:bookmarkEnd w:id="36"/>
    <w:bookmarkStart w:id="44" w:name="summary"/>
    <w:p>
      <w:pPr>
        <w:pStyle w:val="Heading1"/>
      </w:pPr>
      <w:r>
        <w:t xml:space="preserve">7. Summary</w:t>
      </w:r>
    </w:p>
    <w:p>
      <w:pPr>
        <w:pStyle w:val="FirstParagraph"/>
      </w:pPr>
      <w:r>
        <w:t xml:space="preserve">In this practical, we have extracted relevant results from published studies and used them in both fixed and random effects meta-analyses. We saw how these models can weight different studies in computing the pooled estimates, and plotted them using forest plots. Finally, we considered whether there might be evidence of publication bias in this literature. Before you leave, make sure you have commented your code so that future-you remembers what you have done.</w:t>
      </w:r>
    </w:p>
    <w:p>
      <w:pPr>
        <w:pStyle w:val="BodyText"/>
      </w:pPr>
      <w:r>
        <w:t xml:space="preserve">We ran a basic version of these models here, but there is much more you can do to correct for small sample sizes and adjust for the fact that some estimates come from the same study (i.e., there were different correlation coefficients for different measures of reading in the same sample). If you are interested in these issues, you can</w:t>
      </w:r>
      <w:r>
        <w:t xml:space="preserve"> </w:t>
      </w:r>
      <w:hyperlink r:id="rId37">
        <w:r>
          <w:rPr>
            <w:rStyle w:val="Hyperlink"/>
          </w:rPr>
          <w:t xml:space="preserve">access the full paper here</w:t>
        </w:r>
      </w:hyperlink>
      <w:r>
        <w:t xml:space="preserve"> </w:t>
      </w:r>
      <w:r>
        <w:t xml:space="preserve">or</w:t>
      </w:r>
      <w:r>
        <w:t xml:space="preserve"> </w:t>
      </w:r>
      <w:hyperlink r:id="rId38">
        <w:r>
          <w:rPr>
            <w:rStyle w:val="Hyperlink"/>
          </w:rPr>
          <w:t xml:space="preserve">download the full dataset and analysis scripts</w:t>
        </w:r>
      </w:hyperlink>
      <w:r>
        <w:t xml:space="preserve">.</w:t>
      </w:r>
    </w:p>
    <w:bookmarkStart w:id="39" w:name="challenge-yourself"/>
    <w:p>
      <w:pPr>
        <w:pStyle w:val="Heading2"/>
      </w:pPr>
      <w:r>
        <w:t xml:space="preserve">7.1 Challenge yourself</w:t>
      </w:r>
    </w:p>
    <w:p>
      <w:pPr>
        <w:pStyle w:val="FirstParagraph"/>
      </w:pPr>
      <w:r>
        <w:t xml:space="preserve">Often we are interested in how effect sizes vary across different conditions. In this case, the researchers were interested in whether the relationship between procedural learning (SRT) and reading ability might differ depending on the participant groups tested.</w:t>
      </w:r>
    </w:p>
    <w:p>
      <w:pPr>
        <w:pStyle w:val="BodyText"/>
      </w:pPr>
      <w:r>
        <w:t xml:space="preserve">If you finish the practical in good time or want to push your skills further beyond the end of today’s session, see if you can test whether participant</w:t>
      </w:r>
      <w:r>
        <w:t xml:space="preserve"> </w:t>
      </w:r>
      <w:r>
        <w:rPr>
          <w:rStyle w:val="VerbatimChar"/>
        </w:rPr>
        <w:t xml:space="preserve">Group</w:t>
      </w:r>
      <w:r>
        <w:t xml:space="preserve"> </w:t>
      </w:r>
      <w:r>
        <w:t xml:space="preserve">is a moderator in your analysis. Use the original data file that you loaded in (</w:t>
      </w:r>
      <w:r>
        <w:rPr>
          <w:rStyle w:val="VerbatimChar"/>
        </w:rPr>
        <w:t xml:space="preserve">full_dat</w:t>
      </w:r>
      <w:r>
        <w:t xml:space="preserve">), which also includes effect sizes for samples with developmental dyslexia. You can look at the help files or use Google to find out how to include this extra predictor.</w:t>
      </w:r>
    </w:p>
    <w:p>
      <w:pPr>
        <w:pStyle w:val="SourceCode"/>
      </w:pPr>
      <w:r>
        <w:rPr>
          <w:rStyle w:val="DocumentationTok"/>
        </w:rPr>
        <w:t xml:space="preserve">## Compute sampling variance for full dataset</w:t>
      </w:r>
      <w:r>
        <w:br/>
      </w:r>
      <w:r>
        <w:rPr>
          <w:rStyle w:val="NormalTok"/>
        </w:rPr>
        <w:t xml:space="preserve">full_dat_var </w:t>
      </w:r>
      <w:r>
        <w:rPr>
          <w:rStyle w:val="OtherTok"/>
        </w:rPr>
        <w:t xml:space="preserve">&lt;-</w:t>
      </w:r>
      <w:r>
        <w:rPr>
          <w:rStyle w:val="NormalTok"/>
        </w:rPr>
        <w:t xml:space="preserve"> </w:t>
      </w:r>
      <w:r>
        <w:rPr>
          <w:rStyle w:val="FunctionTok"/>
        </w:rPr>
        <w:t xml:space="preserve">escalc</w:t>
      </w:r>
      <w:r>
        <w:rPr>
          <w:rStyle w:val="NormalTok"/>
        </w:rPr>
        <w:t xml:space="preserve">(</w:t>
      </w:r>
      <w:r>
        <w:rPr>
          <w:rStyle w:val="AttributeTok"/>
        </w:rPr>
        <w:t xml:space="preserve">measure =</w:t>
      </w:r>
      <w:r>
        <w:rPr>
          <w:rStyle w:val="NormalTok"/>
        </w:rPr>
        <w:t xml:space="preserve"> </w:t>
      </w:r>
      <w:r>
        <w:rPr>
          <w:rStyle w:val="StringTok"/>
        </w:rPr>
        <w:t xml:space="preserve">"COR"</w:t>
      </w:r>
      <w:r>
        <w:rPr>
          <w:rStyle w:val="NormalTok"/>
        </w:rPr>
        <w:t xml:space="preserve">,  </w:t>
      </w:r>
      <w:r>
        <w:rPr>
          <w:rStyle w:val="CommentTok"/>
        </w:rPr>
        <w:t xml:space="preserve"># specify effect size measure</w:t>
      </w:r>
      <w:r>
        <w:br/>
      </w:r>
      <w:r>
        <w:rPr>
          <w:rStyle w:val="NormalTok"/>
        </w:rPr>
        <w:t xml:space="preserve">                       </w:t>
      </w:r>
      <w:r>
        <w:rPr>
          <w:rStyle w:val="AttributeTok"/>
        </w:rPr>
        <w:t xml:space="preserve">ri =</w:t>
      </w:r>
      <w:r>
        <w:rPr>
          <w:rStyle w:val="NormalTok"/>
        </w:rPr>
        <w:t xml:space="preserve"> Cor,         </w:t>
      </w:r>
      <w:r>
        <w:rPr>
          <w:rStyle w:val="CommentTok"/>
        </w:rPr>
        <w:t xml:space="preserve"># specify correlation variable</w:t>
      </w:r>
      <w:r>
        <w:br/>
      </w:r>
      <w:r>
        <w:rPr>
          <w:rStyle w:val="NormalTok"/>
        </w:rPr>
        <w:t xml:space="preserve">                       </w:t>
      </w:r>
      <w:r>
        <w:rPr>
          <w:rStyle w:val="AttributeTok"/>
        </w:rPr>
        <w:t xml:space="preserve">ni =</w:t>
      </w:r>
      <w:r>
        <w:rPr>
          <w:rStyle w:val="NormalTok"/>
        </w:rPr>
        <w:t xml:space="preserve"> N,           </w:t>
      </w:r>
      <w:r>
        <w:rPr>
          <w:rStyle w:val="CommentTok"/>
        </w:rPr>
        <w:t xml:space="preserve"># specify sample size variable</w:t>
      </w:r>
      <w:r>
        <w:br/>
      </w:r>
      <w:r>
        <w:rPr>
          <w:rStyle w:val="NormalTok"/>
        </w:rPr>
        <w:t xml:space="preserve">                       </w:t>
      </w:r>
      <w:r>
        <w:rPr>
          <w:rStyle w:val="AttributeTok"/>
        </w:rPr>
        <w:t xml:space="preserve">data =</w:t>
      </w:r>
      <w:r>
        <w:rPr>
          <w:rStyle w:val="NormalTok"/>
        </w:rPr>
        <w:t xml:space="preserve"> full_dat)  </w:t>
      </w:r>
      <w:r>
        <w:rPr>
          <w:rStyle w:val="CommentTok"/>
        </w:rPr>
        <w:t xml:space="preserve"># dataset</w:t>
      </w:r>
      <w:r>
        <w:br/>
      </w:r>
      <w:r>
        <w:br/>
      </w:r>
      <w:r>
        <w:rPr>
          <w:rStyle w:val="DocumentationTok"/>
        </w:rPr>
        <w:t xml:space="preserve">## Run model with Group factor as moderator</w:t>
      </w:r>
      <w:r>
        <w:br/>
      </w:r>
      <w:r>
        <w:rPr>
          <w:rStyle w:val="NormalTok"/>
        </w:rPr>
        <w:t xml:space="preserve">group_mod </w:t>
      </w:r>
      <w:r>
        <w:rPr>
          <w:rStyle w:val="OtherTok"/>
        </w:rPr>
        <w:t xml:space="preserve">&lt;-</w:t>
      </w:r>
      <w:r>
        <w:rPr>
          <w:rStyle w:val="NormalTok"/>
        </w:rPr>
        <w:t xml:space="preserve"> </w:t>
      </w:r>
      <w:r>
        <w:rPr>
          <w:rStyle w:val="FunctionTok"/>
        </w:rPr>
        <w:t xml:space="preserve">rma</w:t>
      </w:r>
      <w:r>
        <w:rPr>
          <w:rStyle w:val="NormalTok"/>
        </w:rPr>
        <w:t xml:space="preserve">(</w:t>
      </w:r>
      <w:r>
        <w:rPr>
          <w:rStyle w:val="AttributeTok"/>
        </w:rPr>
        <w:t xml:space="preserve">yi =</w:t>
      </w:r>
      <w:r>
        <w:rPr>
          <w:rStyle w:val="NormalTok"/>
        </w:rPr>
        <w:t xml:space="preserve"> yi, </w:t>
      </w:r>
      <w:r>
        <w:rPr>
          <w:rStyle w:val="AttributeTok"/>
        </w:rPr>
        <w:t xml:space="preserve">vi =</w:t>
      </w:r>
      <w:r>
        <w:rPr>
          <w:rStyle w:val="NormalTok"/>
        </w:rPr>
        <w:t xml:space="preserve"> vi, </w:t>
      </w:r>
      <w:r>
        <w:rPr>
          <w:rStyle w:val="AttributeTok"/>
        </w:rPr>
        <w:t xml:space="preserve">mods =</w:t>
      </w:r>
      <w:r>
        <w:rPr>
          <w:rStyle w:val="NormalTok"/>
        </w:rPr>
        <w:t xml:space="preserve"> </w:t>
      </w:r>
      <w:r>
        <w:rPr>
          <w:rStyle w:val="SpecialCharTok"/>
        </w:rPr>
        <w:t xml:space="preserve">~</w:t>
      </w:r>
      <w:r>
        <w:rPr>
          <w:rStyle w:val="NormalTok"/>
        </w:rPr>
        <w:t xml:space="preserve"> </w:t>
      </w:r>
      <w:r>
        <w:rPr>
          <w:rStyle w:val="FunctionTok"/>
        </w:rPr>
        <w:t xml:space="preserve">factor</w:t>
      </w:r>
      <w:r>
        <w:rPr>
          <w:rStyle w:val="NormalTok"/>
        </w:rPr>
        <w:t xml:space="preserve">(Group),</w:t>
      </w:r>
      <w:r>
        <w:br/>
      </w:r>
      <w:r>
        <w:rPr>
          <w:rStyle w:val="NormalTok"/>
        </w:rPr>
        <w:t xml:space="preserve">                 </w:t>
      </w:r>
      <w:r>
        <w:rPr>
          <w:rStyle w:val="AttributeTok"/>
        </w:rPr>
        <w:t xml:space="preserve">method =</w:t>
      </w:r>
      <w:r>
        <w:rPr>
          <w:rStyle w:val="NormalTok"/>
        </w:rPr>
        <w:t xml:space="preserve"> </w:t>
      </w:r>
      <w:r>
        <w:rPr>
          <w:rStyle w:val="StringTok"/>
        </w:rPr>
        <w:t xml:space="preserve">"REML"</w:t>
      </w:r>
      <w:r>
        <w:rPr>
          <w:rStyle w:val="NormalTok"/>
        </w:rPr>
        <w:t xml:space="preserve">, </w:t>
      </w:r>
      <w:r>
        <w:rPr>
          <w:rStyle w:val="AttributeTok"/>
        </w:rPr>
        <w:t xml:space="preserve">data =</w:t>
      </w:r>
      <w:r>
        <w:rPr>
          <w:rStyle w:val="NormalTok"/>
        </w:rPr>
        <w:t xml:space="preserve"> full_dat_var)</w:t>
      </w:r>
      <w:r>
        <w:br/>
      </w:r>
      <w:r>
        <w:rPr>
          <w:rStyle w:val="FunctionTok"/>
        </w:rPr>
        <w:t xml:space="preserve">summary</w:t>
      </w:r>
      <w:r>
        <w:rPr>
          <w:rStyle w:val="NormalTok"/>
        </w:rPr>
        <w:t xml:space="preserve">(group_mod)  </w:t>
      </w:r>
      <w:r>
        <w:rPr>
          <w:rStyle w:val="CommentTok"/>
        </w:rPr>
        <w:t xml:space="preserve"># no effect of group (p = 0.159)</w:t>
      </w:r>
    </w:p>
    <w:bookmarkEnd w:id="39"/>
    <w:bookmarkStart w:id="43" w:name="further-learning"/>
    <w:p>
      <w:pPr>
        <w:pStyle w:val="Heading2"/>
      </w:pPr>
      <w:r>
        <w:t xml:space="preserve">7.2 Further learning</w:t>
      </w:r>
    </w:p>
    <w:p>
      <w:pPr>
        <w:pStyle w:val="FirstParagraph"/>
      </w:pPr>
      <w:r>
        <w:t xml:space="preserve">You can find the core reading for this week on the VLE. If you come to do meta-analysis in the future or want further details on the different steps that we have covered, then there is an excellent textbook available for free online:</w:t>
      </w:r>
      <w:r>
        <w:t xml:space="preserve"> </w:t>
      </w:r>
      <w:hyperlink r:id="rId40">
        <w:r>
          <w:rPr>
            <w:rStyle w:val="Hyperlink"/>
          </w:rPr>
          <w:t xml:space="preserve">Harrer et al. (2021).</w:t>
        </w:r>
        <w:r>
          <w:rPr>
            <w:rStyle w:val="Hyperlink"/>
          </w:rPr>
          <w:t xml:space="preserve"> </w:t>
        </w:r>
        <w:r>
          <w:rPr>
            <w:rStyle w:val="Hyperlink"/>
            <w:i/>
            <w:iCs/>
          </w:rPr>
          <w:t xml:space="preserve">Doing Meta-Analysis with R: A Hands-On Guide</w:t>
        </w:r>
      </w:hyperlink>
      <w:r>
        <w:rPr>
          <w:i/>
          <w:iCs/>
        </w:rPr>
        <w:t xml:space="preserve">.</w:t>
      </w:r>
    </w:p>
    <w:p>
      <w:r>
        <w:pict>
          <v:rect style="width:0;height:1.5pt" o:hralign="center" o:hrstd="t" o:hr="t"/>
        </w:pic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16" w:after="16"/>
            </w:pPr>
            <w:r>
              <w:t xml:space="preserve">How’s it going?</w:t>
            </w:r>
          </w:p>
        </w:tc>
      </w:tr>
      <w:tr>
        <w:trPr>
          <w:cantSplit/>
        </w:trPr>
        <w:tc>
          <w:tcPr>
            <w:tcMar>
              <w:top w:w="108" w:type="dxa"/>
              <w:bottom w:w="108" w:type="dxa"/>
            </w:tcMar>
          </w:tcPr>
          <w:p>
            <w:pPr>
              <w:pStyle w:val="BodyText"/>
            </w:pPr>
            <w:pPr>
              <w:spacing w:before="16"/>
            </w:pPr>
            <w:r>
              <w:t xml:space="preserve">Let us know how today went</w:t>
            </w:r>
            <w:r>
              <w:t xml:space="preserve"> </w:t>
            </w:r>
            <w:hyperlink r:id="rId41">
              <w:r>
                <w:rPr>
                  <w:rStyle w:val="Hyperlink"/>
                </w:rPr>
                <w:t xml:space="preserve">via this quick survey</w:t>
              </w:r>
            </w:hyperlink>
            <w:r>
              <w:t xml:space="preserve"> </w:t>
            </w:r>
            <w:r>
              <w:t xml:space="preserve">- rate the difficulty and length, and leave any comments that would help for us to know (positive comments welcome too!). You will need to be logged in with your university account to respond, but your submission will be anonymous.</w:t>
            </w:r>
          </w:p>
          <w:p>
            <w:pPr>
              <w:pStyle w:val="BodyText"/>
            </w:pPr>
            <w:pPr>
              <w:spacing w:after="16"/>
            </w:pPr>
            <w:r>
              <w:t xml:space="preserve">For more general questions about the practical, please post them on the</w:t>
            </w:r>
            <w:r>
              <w:t xml:space="preserve"> </w:t>
            </w:r>
            <w:hyperlink r:id="rId42">
              <w:r>
                <w:rPr>
                  <w:rStyle w:val="Hyperlink"/>
                </w:rPr>
                <w:t xml:space="preserve">VLE Discussion Board</w:t>
              </w:r>
            </w:hyperlink>
            <w:r>
              <w:t xml:space="preserve">.</w:t>
            </w:r>
          </w:p>
        </w:tc>
      </w:tr>
    </w:tbl>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s://bookdown.org/MathiasHarrer/Doing_Meta_Analysis_in_R/" TargetMode="External" /><Relationship Type="http://schemas.openxmlformats.org/officeDocument/2006/relationships/hyperlink" Id="rId41" Target="https://docs.google.com/forms/d/e/1FAIpQLSdxrvu8kUlKKbFLsFrLhkkWjD9GgFy4hd-kG6ds3N1A_vfCug/viewform?usp=publish-editor" TargetMode="External" /><Relationship Type="http://schemas.openxmlformats.org/officeDocument/2006/relationships/hyperlink" Id="rId22" Target="https://doi.org/10.1016/j.ridd.2017.10.015" TargetMode="External" /><Relationship Type="http://schemas.openxmlformats.org/officeDocument/2006/relationships/hyperlink" Id="rId23" Target="https://doi.org/10.1080/10888438.2018.1482304" TargetMode="External" /><Relationship Type="http://schemas.openxmlformats.org/officeDocument/2006/relationships/hyperlink" Id="rId21" Target="https://emljames.github.io/arm/0_setup.html" TargetMode="External" /><Relationship Type="http://schemas.openxmlformats.org/officeDocument/2006/relationships/hyperlink" Id="rId37" Target="https://onlinelibrary.wiley.com/doi/full/10.1111/cogs.13310" TargetMode="External" /><Relationship Type="http://schemas.openxmlformats.org/officeDocument/2006/relationships/hyperlink" Id="rId38" Target="https://osf.io/ev2xw/" TargetMode="External" /><Relationship Type="http://schemas.openxmlformats.org/officeDocument/2006/relationships/hyperlink" Id="rId42" Target="https://vle.york.ac.uk/ultra/courses/_117163_1/discussion/_6581034_1?view=discussions" TargetMode="External" /><Relationship Type="http://schemas.openxmlformats.org/officeDocument/2006/relationships/hyperlink" Id="rId35" Target="https://www.statisticshowto.com/funnel-plot/" TargetMode="External" /></Relationships>
</file>

<file path=word/_rels/footnotes.xml.rels><?xml version="1.0" encoding="UTF-8"?><Relationships xmlns="http://schemas.openxmlformats.org/package/2006/relationships"><Relationship Type="http://schemas.openxmlformats.org/officeDocument/2006/relationships/hyperlink" Id="rId40" Target="https://bookdown.org/MathiasHarrer/Doing_Meta_Analysis_in_R/" TargetMode="External" /><Relationship Type="http://schemas.openxmlformats.org/officeDocument/2006/relationships/hyperlink" Id="rId41" Target="https://docs.google.com/forms/d/e/1FAIpQLSdxrvu8kUlKKbFLsFrLhkkWjD9GgFy4hd-kG6ds3N1A_vfCug/viewform?usp=publish-editor" TargetMode="External" /><Relationship Type="http://schemas.openxmlformats.org/officeDocument/2006/relationships/hyperlink" Id="rId22" Target="https://doi.org/10.1016/j.ridd.2017.10.015" TargetMode="External" /><Relationship Type="http://schemas.openxmlformats.org/officeDocument/2006/relationships/hyperlink" Id="rId23" Target="https://doi.org/10.1080/10888438.2018.1482304" TargetMode="External" /><Relationship Type="http://schemas.openxmlformats.org/officeDocument/2006/relationships/hyperlink" Id="rId21" Target="https://emljames.github.io/arm/0_setup.html" TargetMode="External" /><Relationship Type="http://schemas.openxmlformats.org/officeDocument/2006/relationships/hyperlink" Id="rId37" Target="https://onlinelibrary.wiley.com/doi/full/10.1111/cogs.13310" TargetMode="External" /><Relationship Type="http://schemas.openxmlformats.org/officeDocument/2006/relationships/hyperlink" Id="rId38" Target="https://osf.io/ev2xw/" TargetMode="External" /><Relationship Type="http://schemas.openxmlformats.org/officeDocument/2006/relationships/hyperlink" Id="rId42" Target="https://vle.york.ac.uk/ultra/courses/_117163_1/discussion/_6581034_1?view=discussions" TargetMode="External" /><Relationship Type="http://schemas.openxmlformats.org/officeDocument/2006/relationships/hyperlink" Id="rId35" Target="https://www.statisticshowto.com/funnel-plo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Meta-analysis</dc:title>
  <dc:creator>Emma James</dc:creator>
  <cp:keywords/>
  <dcterms:created xsi:type="dcterms:W3CDTF">2026-10-21T17:29:13Z</dcterms:created>
  <dcterms:modified xsi:type="dcterms:W3CDTF">2026-10-21T17:29:13Z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llout-icon">
    <vt:lpwstr>False</vt:lpwstr>
  </property>
  <property fmtid="{D5CDD505-2E9C-101B-9397-08002B2CF9AE}" pid="6" name="editor">
    <vt:lpwstr>visual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number-depth">
    <vt:lpwstr>3</vt:lpwstr>
  </property>
  <property fmtid="{D5CDD505-2E9C-101B-9397-08002B2CF9AE}" pid="12" name="toc-title">
    <vt:lpwstr>Table of contents</vt:lpwstr>
  </property>
</Properties>
</file>