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ntroduction-to-the-module"/>
    <w:p>
      <w:pPr>
        <w:pStyle w:val="Heading1"/>
      </w:pPr>
      <w:r>
        <w:t xml:space="preserve">1. Introduction to the module</w:t>
      </w:r>
    </w:p>
    <w:p>
      <w:pPr>
        <w:pStyle w:val="FirstParagraph"/>
      </w:pPr>
      <w:r>
        <w:t xml:space="preserve">Welcome to</w:t>
      </w:r>
      <w:r>
        <w:t xml:space="preserve"> </w:t>
      </w:r>
      <w:r>
        <w:rPr>
          <w:b/>
          <w:bCs/>
          <w:i/>
          <w:iCs/>
        </w:rPr>
        <w:t xml:space="preserve">Advanced Research Methods!</w:t>
      </w:r>
    </w:p>
    <w:p>
      <w:pPr>
        <w:pStyle w:val="BodyText"/>
      </w:pPr>
      <w:r>
        <w:t xml:space="preserve">Each week’s lecture content is available via the</w:t>
      </w:r>
      <w:r>
        <w:t xml:space="preserve"> </w:t>
      </w:r>
      <w:hyperlink r:id="rId20">
        <w:r>
          <w:rPr>
            <w:rStyle w:val="Hyperlink"/>
          </w:rPr>
          <w:t xml:space="preserve">VLE module page</w:t>
        </w:r>
      </w:hyperlink>
      <w:r>
        <w:t xml:space="preserve">. These course pages are where you will find the materials for the practical sessions. Each practical session will have its own page of instructions released throughout the semester. Instructions can also be downloaded in Word or PDF format should you prefer: find the links underneath the outline down the lefthand side of each page.</w:t>
      </w:r>
    </w:p>
    <w:p>
      <w:pPr>
        <w:pStyle w:val="BodyText"/>
      </w:pPr>
      <w:r>
        <w:t xml:space="preserve">This page outlines how to approach the practical sessions. Before you begin in Week 1—and anytime you switch devices—you should also check out the</w:t>
      </w:r>
      <w:r>
        <w:t xml:space="preserve"> </w:t>
      </w:r>
      <w:hyperlink r:id="rId21">
        <w:r>
          <w:rPr>
            <w:rStyle w:val="Hyperlink"/>
          </w:rPr>
          <w:t xml:space="preserve">guidelines</w:t>
        </w:r>
      </w:hyperlink>
      <w:r>
        <w:t xml:space="preserve"> </w:t>
      </w:r>
      <w:r>
        <w:t xml:space="preserve">for setting up your workspace for this module.</w:t>
      </w:r>
    </w:p>
    <w:bookmarkEnd w:id="22"/>
    <w:bookmarkStart w:id="32" w:name="practical-format"/>
    <w:p>
      <w:pPr>
        <w:pStyle w:val="Heading1"/>
      </w:pPr>
      <w:r>
        <w:t xml:space="preserve">2. Practical format</w:t>
      </w:r>
    </w:p>
    <w:p>
      <w:pPr>
        <w:pStyle w:val="FirstParagraph"/>
      </w:pPr>
      <w:r>
        <w:t xml:space="preserve">We have a one-hour practical timetabled each week (typically 1pm or 3pm on Thursdays, PS/A/203). Each session has tasks for you to complete independently, with the session lead and two teaching assistants available to support throughout.</w:t>
      </w:r>
    </w:p>
    <w:p>
      <w:pPr>
        <w:pStyle w:val="BodyText"/>
      </w:pPr>
      <w:r>
        <w:t xml:space="preserve">The teaching assistants for the year 2026-2027 are Ellie Redfern and Yijun Yang.</w:t>
      </w:r>
    </w:p>
    <w:p>
      <w:pPr>
        <w:pStyle w:val="CaptionedFigure"/>
      </w:pPr>
      <w:r>
        <w:drawing>
          <wp:inline>
            <wp:extent cx="4733925" cy="2645573"/>
            <wp:effectExtent b="0" l="0" r="0" t="0"/>
            <wp:docPr descr="Artwork by @allison_horst" title="" id="24" name="Picture"/>
            <a:graphic>
              <a:graphicData uri="http://schemas.openxmlformats.org/drawingml/2006/picture">
                <pic:pic>
                  <pic:nvPicPr>
                    <pic:cNvPr descr="images/ah_Rlearners.png" id="25" name="Picture"/>
                    <pic:cNvPicPr>
                      <a:picLocks noChangeArrowheads="1" noChangeAspect="1"/>
                    </pic:cNvPicPr>
                  </pic:nvPicPr>
                  <pic:blipFill>
                    <a:blip r:embed="rId23"/>
                    <a:stretch>
                      <a:fillRect/>
                    </a:stretch>
                  </pic:blipFill>
                  <pic:spPr bwMode="auto">
                    <a:xfrm>
                      <a:off x="0" y="0"/>
                      <a:ext cx="4733925" cy="2645573"/>
                    </a:xfrm>
                    <a:prstGeom prst="rect">
                      <a:avLst/>
                    </a:prstGeom>
                    <a:noFill/>
                    <a:ln w="9525">
                      <a:noFill/>
                      <a:headEnd/>
                      <a:tailEnd/>
                    </a:ln>
                  </pic:spPr>
                </pic:pic>
              </a:graphicData>
            </a:graphic>
          </wp:inline>
        </w:drawing>
      </w:r>
    </w:p>
    <w:p>
      <w:pPr>
        <w:pStyle w:val="ImageCaption"/>
      </w:pPr>
      <w:r>
        <w:t xml:space="preserve">Artwork by @allison_horst</w:t>
      </w:r>
    </w:p>
    <w:bookmarkStart w:id="26" w:name="preparation"/>
    <w:p>
      <w:pPr>
        <w:pStyle w:val="Heading2"/>
      </w:pPr>
      <w:r>
        <w:t xml:space="preserve">2.1 Preparation</w:t>
      </w:r>
    </w:p>
    <w:p>
      <w:pPr>
        <w:pStyle w:val="FirstParagraph"/>
      </w:pPr>
      <w:r>
        <w:t xml:space="preserve">We expect that you will come to this session having attended the lecture on Tuesday, or caught up via the recording if you were unable to make it in person. We also recommend that you should have done the core reading for the week to consolidate your understanding. Having done so will help you to engage fully with the practical session, and also enable you to ask questions about aspects that you did not understand.</w:t>
      </w:r>
    </w:p>
    <w:bookmarkEnd w:id="26"/>
    <w:bookmarkStart w:id="30" w:name="during-the-practical"/>
    <w:p>
      <w:pPr>
        <w:pStyle w:val="Heading2"/>
      </w:pPr>
      <w:r>
        <w:t xml:space="preserve">2.2 During the practical</w:t>
      </w:r>
    </w:p>
    <w:p>
      <w:pPr>
        <w:pStyle w:val="FirstParagraph"/>
      </w:pPr>
      <w:r>
        <w:t xml:space="preserve">The practical is self-paced. You should work through the instructions to create and annotate your own analysis script, checking your understanding and taking notes as you go.</w:t>
      </w:r>
    </w:p>
    <w:p>
      <w:pPr>
        <w:pStyle w:val="BodyText"/>
      </w:pPr>
      <w:r>
        <w:t xml:space="preserve">Where we have hidden code sections, do your best to try and figure out the solution yourself before peeking! Trial and error is a much more effective way of learning, and will help you to build your coding skills.</w:t>
      </w:r>
    </w:p>
    <w:p>
      <w:pPr>
        <w:pStyle w:val="BodyText"/>
      </w:pPr>
      <w:r>
        <w:t xml:space="preserve">You can count on getting stuck at various points during the practical sessions. Errors are a very normal part of coding, even if sometimes frustrating! If you get stuck, try the following:</w:t>
      </w:r>
    </w:p>
    <w:p>
      <w:pPr>
        <w:pStyle w:val="Compact"/>
        <w:numPr>
          <w:ilvl w:val="0"/>
          <w:numId w:val="1001"/>
        </w:numPr>
      </w:pPr>
      <w:r>
        <w:t xml:space="preserve">Spend time trying some different things! What’s happening that you don’t expect? Is there an error message, and does it tell you anything useful?</w:t>
      </w:r>
    </w:p>
    <w:p>
      <w:pPr>
        <w:pStyle w:val="Compact"/>
        <w:numPr>
          <w:ilvl w:val="0"/>
          <w:numId w:val="1001"/>
        </w:numPr>
      </w:pPr>
      <w:r>
        <w:t xml:space="preserve">Google it! Copying and pasting the error message into Google often takes you to help forums where others have asked about the same problem.</w:t>
      </w:r>
    </w:p>
    <w:p>
      <w:pPr>
        <w:pStyle w:val="Compact"/>
        <w:numPr>
          <w:ilvl w:val="0"/>
          <w:numId w:val="1001"/>
        </w:numPr>
      </w:pPr>
      <w:r>
        <w:t xml:space="preserve">Chat to the person next to you—maybe they can spot something in your code that you can’t see?</w:t>
      </w:r>
    </w:p>
    <w:p>
      <w:pPr>
        <w:pStyle w:val="Compact"/>
        <w:numPr>
          <w:ilvl w:val="0"/>
          <w:numId w:val="1001"/>
        </w:numPr>
      </w:pPr>
      <w:r>
        <w:t xml:space="preserve">Put your hand up, and we’ll come over to help!</w:t>
      </w:r>
    </w:p>
    <w:p>
      <w:pPr>
        <w:pStyle w:val="CaptionedFigure"/>
      </w:pPr>
      <w:r>
        <w:drawing>
          <wp:inline>
            <wp:extent cx="3133725" cy="1834534"/>
            <wp:effectExtent b="0" l="0" r="0" t="0"/>
            <wp:docPr descr="Artwork by @allison_horst" title="" id="28" name="Picture"/>
            <a:graphic>
              <a:graphicData uri="http://schemas.openxmlformats.org/drawingml/2006/picture">
                <pic:pic>
                  <pic:nvPicPr>
                    <pic:cNvPr descr="images/ah_livetroubleshooting.png" id="29" name="Picture"/>
                    <pic:cNvPicPr>
                      <a:picLocks noChangeArrowheads="1" noChangeAspect="1"/>
                    </pic:cNvPicPr>
                  </pic:nvPicPr>
                  <pic:blipFill>
                    <a:blip r:embed="rId27"/>
                    <a:stretch>
                      <a:fillRect/>
                    </a:stretch>
                  </pic:blipFill>
                  <pic:spPr bwMode="auto">
                    <a:xfrm>
                      <a:off x="0" y="0"/>
                      <a:ext cx="3133725" cy="1834534"/>
                    </a:xfrm>
                    <a:prstGeom prst="rect">
                      <a:avLst/>
                    </a:prstGeom>
                    <a:noFill/>
                    <a:ln w="9525">
                      <a:noFill/>
                      <a:headEnd/>
                      <a:tailEnd/>
                    </a:ln>
                  </pic:spPr>
                </pic:pic>
              </a:graphicData>
            </a:graphic>
          </wp:inline>
        </w:drawing>
      </w:r>
    </w:p>
    <w:p>
      <w:pPr>
        <w:pStyle w:val="ImageCaption"/>
      </w:pPr>
      <w:r>
        <w:t xml:space="preserve">Artwork by @allison_horst</w:t>
      </w:r>
    </w:p>
    <w:p>
      <w:pPr>
        <w:pStyle w:val="BodyText"/>
      </w:pPr>
      <w:r>
        <w:t xml:space="preserve">While it’s a good idea to spend a bit time trying to tackle a problem yourself, do keep in mind the long-term goals of the practical. Don’t struggle on Step 1 for 50 minutes and run out of time for the rest! We’re here to help you make progress.</w:t>
      </w:r>
    </w:p>
    <w:bookmarkEnd w:id="30"/>
    <w:bookmarkStart w:id="31" w:name="challenge-yourself"/>
    <w:p>
      <w:pPr>
        <w:pStyle w:val="Heading2"/>
      </w:pPr>
      <w:r>
        <w:t xml:space="preserve">2.3 Challenge yourself!</w:t>
      </w:r>
    </w:p>
    <w:p>
      <w:pPr>
        <w:pStyle w:val="FirstParagraph"/>
      </w:pPr>
      <w:r>
        <w:t xml:space="preserve">If you finish the exercises in good time or want to continue progressing after the practical, have a go at the independent exercise at the end.</w:t>
      </w:r>
    </w:p>
    <w:bookmarkEnd w:id="31"/>
    <w:bookmarkEnd w:id="32"/>
    <w:bookmarkStart w:id="33" w:name="feeding-back"/>
    <w:p>
      <w:pPr>
        <w:pStyle w:val="Heading1"/>
      </w:pPr>
      <w:r>
        <w:t xml:space="preserve">3. Feeding back</w:t>
      </w:r>
    </w:p>
    <w:p>
      <w:pPr>
        <w:pStyle w:val="FirstParagraph"/>
      </w:pPr>
      <w:r>
        <w:t xml:space="preserve">These practical sessions are designed to facilitate your learning. Please use the survey link at the end of each week to let us know how you’re getting on so that we can adjust as needed throughout the module. It will take &lt;30 seconds to let us know whether the amount and difficulty of the content was suitable, and there’s an open text box if you would like to any further comments beyond this. Thank you!</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hyperlink" Id="rId21" Target="0_setup.qmd" TargetMode="External" /><Relationship Type="http://schemas.openxmlformats.org/officeDocument/2006/relationships/hyperlink" Id="rId20" Target="https://vle.york.ac.uk/ultra/courses/_117163_1/outline" TargetMode="External" /></Relationships>
</file>

<file path=word/_rels/footnotes.xml.rels><?xml version="1.0" encoding="UTF-8"?><Relationships xmlns="http://schemas.openxmlformats.org/package/2006/relationships"><Relationship Type="http://schemas.openxmlformats.org/officeDocument/2006/relationships/hyperlink" Id="rId21" Target="0_setup.qmd" TargetMode="External" /><Relationship Type="http://schemas.openxmlformats.org/officeDocument/2006/relationships/hyperlink" Id="rId20" Target="https://vle.york.ac.uk/ultra/courses/_117163_1/out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2026-10-14T17:09:49Z</dcterms:created>
  <dcterms:modified xsi:type="dcterms:W3CDTF">2026-10-14T17:09:49Z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allout-icon">
    <vt:lpwstr>False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3</vt:lpwstr>
  </property>
  <property fmtid="{D5CDD505-2E9C-101B-9397-08002B2CF9AE}" pid="9" name="toc-title">
    <vt:lpwstr>Table of contents</vt:lpwstr>
  </property>
</Properties>
</file>