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key steps involved in conducting a meta-analysis. We will use a recently published meta-analysis that examined the relationship between procedural learning and reading ability.</w:t>
      </w:r>
    </w:p>
    <w:p>
      <w:pPr>
        <w:pStyle w:val="BodyText"/>
      </w:pPr>
      <w:r>
        <w:t xml:space="preserve">The</w:t>
      </w:r>
      <w:r>
        <w:t xml:space="preserve"> </w:t>
      </w:r>
      <w:r>
        <w:rPr>
          <w:i/>
          <w:iCs/>
        </w:rPr>
        <w:t xml:space="preserve">Procedural Deficit Hypothesis</w:t>
      </w:r>
      <w:r>
        <w:t xml:space="preserve"> </w:t>
      </w:r>
      <w:r>
        <w:t xml:space="preserve">proposes that reading and language disorders stem from a difficulty in the procedural learning system—i.e., the system that underpins the learning of probabilistic knowledge (Ullman et al., 2020). Procedural learning is often measured using Serial Reaction Time (SRT) tasks: participants respond to a repeating sequence of stimuli (e.g., different button presses),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the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conducting a meta-analysis</w:t>
            </w:r>
          </w:p>
          <w:p>
            <w:pPr>
              <w:pStyle w:val="Compact"/>
              <w:numPr>
                <w:ilvl w:val="0"/>
                <w:numId w:val="1001"/>
              </w:numPr>
            </w:pPr>
            <w:r>
              <w:t xml:space="preserve">Compare different approaches to weighting and pooling effect sizes</w:t>
            </w:r>
          </w:p>
          <w:p>
            <w:pPr>
              <w:pStyle w:val="Compact"/>
              <w:numPr>
                <w:ilvl w:val="0"/>
                <w:numId w:val="1001"/>
              </w:numPr>
            </w:pPr>
            <w:r>
              <w:t xml:space="preserve">Interpret the results of a meta-analysis</w:t>
            </w:r>
          </w:p>
          <w:p>
            <w:pPr>
              <w:pStyle w:val="Compact"/>
              <w:numPr>
                <w:ilvl w:val="0"/>
                <w:numId w:val="1001"/>
              </w:numPr>
            </w:pPr>
            <w:r>
              <w:t xml:space="preserve">Assess the impact of publication bias on meta-analytic findings</w:t>
            </w:r>
          </w:p>
        </w:tc>
      </w:tr>
    </w:tbl>
    <w:p>
      <w:r>
        <w:pict>
          <v:rect style="width:0;height:1.5pt" o:hralign="center" o:hrstd="t" o:hr="t"/>
        </w:pict>
      </w:r>
    </w:p>
    <w:bookmarkEnd w:id="20"/>
    <w:bookmarkStart w:id="27" w:name="effect-sizes"/>
    <w:p>
      <w:pPr>
        <w:pStyle w:val="Heading1"/>
      </w:pPr>
      <w:r>
        <w:t xml:space="preserve">2. Effect sizes</w:t>
      </w:r>
    </w:p>
    <w:bookmarkStart w:id="24"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ARM2_data_srt_gaps.csv.</w:t>
      </w:r>
      <w:r>
        <w:t xml:space="preserve"> </w:t>
      </w:r>
      <w:r>
        <w:t xml:space="preserve">Download this file and save it in the</w:t>
      </w:r>
      <w:r>
        <w:t xml:space="preserve"> </w:t>
      </w:r>
      <w:r>
        <w:rPr>
          <w:b/>
          <w:bCs/>
        </w:rPr>
        <w:t xml:space="preserve">ARM_Practicals/data/</w:t>
      </w:r>
      <w:r>
        <w:t xml:space="preserve"> </w:t>
      </w:r>
      <w:r>
        <w:t xml:space="preserve">folder you created last week.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w:t>
            </w:r>
            <w:r>
              <w:t xml:space="preserve"> </w:t>
            </w:r>
            <w:hyperlink r:id="rId21">
              <w:r>
                <w:rPr>
                  <w:rStyle w:val="Hyperlink"/>
                </w:rPr>
                <w:t xml:space="preserve">set-up steps</w:t>
              </w:r>
            </w:hyperlink>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2">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3">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ARM2_data_srt_complete.csv</w:t>
      </w:r>
      <w:r>
        <w:t xml:space="preserve"> </w:t>
      </w:r>
      <w:r>
        <w:t xml:space="preserve">in the same data folder.</w:t>
      </w:r>
    </w:p>
    <w:bookmarkEnd w:id="24"/>
    <w:bookmarkStart w:id="25" w:name="setting-up-in-rstudio"/>
    <w:p>
      <w:pPr>
        <w:pStyle w:val="Heading2"/>
      </w:pPr>
      <w:r>
        <w:t xml:space="preserve">2.2 Setting up in RStudio</w:t>
      </w:r>
    </w:p>
    <w:p>
      <w:pPr>
        <w:pStyle w:val="FirstParagraph"/>
      </w:pPr>
      <w:r>
        <w:t xml:space="preserve">Now that we have extracted information from our identified studies, let’s get set up in R. In your ARM_Practicals folder, double click the</w:t>
      </w:r>
      <w:r>
        <w:t xml:space="preserve"> </w:t>
      </w:r>
      <w:r>
        <w:rPr>
          <w:b/>
          <w:bCs/>
        </w:rPr>
        <w:t xml:space="preserve">ARM_Practicals.Rproj</w:t>
      </w:r>
      <w:r>
        <w:t xml:space="preserve"> </w:t>
      </w:r>
      <w:r>
        <w:t xml:space="preserve">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for some basic data manipulation tasks.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packages.</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If you have opened your R project and have saved the data in the data folder, you should be able to read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"./data/ARM2_data_srt_complete.csv"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5"/>
    <w:bookmarkStart w:id="26" w:name="compute-sampling-variance"/>
    <w:p>
      <w:pPr>
        <w:pStyle w:val="Heading2"/>
      </w:pPr>
      <w:r>
        <w:t xml:space="preserve">2.3 Compute sampling variance</w:t>
      </w:r>
    </w:p>
    <w:p>
      <w:pPr>
        <w:pStyle w:val="FirstParagraph"/>
      </w:pPr>
      <w:r>
        <w:t xml:space="preserve">The dataset includes a correlation coefficient for each study, which is our effect size for this meta-analysis. It quantifies the direction and strength of relationship between SRT task performance and reading ability. However, some of the studies have much larger sample sizes than others. Use</w:t>
      </w:r>
      <w:r>
        <w:t xml:space="preserve"> </w:t>
      </w:r>
      <w:r>
        <w:rPr>
          <w:rStyle w:val="VerbatimChar"/>
        </w:rPr>
        <w:t xml:space="preserve">min(td_dat$N)</w:t>
      </w:r>
      <w:r>
        <w:t xml:space="preserve"> </w:t>
      </w:r>
      <w:r>
        <w:t xml:space="preserve">to identify the smallest sample size in the dataset, and then use the</w:t>
      </w:r>
      <w:r>
        <w:t xml:space="preserve"> </w:t>
      </w:r>
      <w:r>
        <w:rPr>
          <w:rStyle w:val="VerbatimChar"/>
        </w:rPr>
        <w:t xml:space="preserve">max()</w:t>
      </w:r>
      <w:r>
        <w:t xml:space="preserve"> </w:t>
      </w:r>
      <w:r>
        <w:t xml:space="preserve">function to identify the largest.</w:t>
      </w:r>
    </w:p>
    <w:p>
      <w:pPr>
        <w:pStyle w:val="BodyText"/>
      </w:pPr>
      <w:r>
        <w:t xml:space="preserve">To capture this uncertainty around the correlation estimates, we should compute their variance ahead of running the meta-analysis. Our meta-analysis package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w:t>
      </w:r>
      <w:r>
        <w:t xml:space="preserve"> </w:t>
      </w:r>
      <w:r>
        <w:rPr>
          <w:rStyle w:val="VerbatimChar"/>
        </w:rPr>
        <w:t xml:space="preserve">td_dat_var</w:t>
      </w:r>
      <w:r>
        <w:t xml:space="preserve">. If you click the grid to open it, you should find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calculated based on the correlation coefficient and sample size</w:t>
      </w:r>
    </w:p>
    <w:p>
      <w:pPr>
        <w:pStyle w:val="FirstParagraph"/>
      </w:pPr>
      <w:r>
        <w:t xml:space="preserve">Now we’re ready to run the analysis!</w:t>
      </w:r>
    </w:p>
    <w:p>
      <w:r>
        <w:pict>
          <v:rect style="width:0;height:1.5pt" o:hralign="center" o:hrstd="t" o:hr="t"/>
        </w:pict>
      </w:r>
    </w:p>
    <w:bookmarkEnd w:id="26"/>
    <w:bookmarkEnd w:id="27"/>
    <w:bookmarkStart w:id="30"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 the</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Use the</w:t>
      </w:r>
      <w:r>
        <w:t xml:space="preserve"> </w:t>
      </w:r>
      <w:r>
        <w:rPr>
          <w:rStyle w:val="VerbatimChar"/>
        </w:rPr>
        <w:t xml:space="preserve">summary()</w:t>
      </w:r>
      <w:r>
        <w:t xml:space="preserve"> </w:t>
      </w:r>
      <w:r>
        <w:t xml:space="preserve">function on the model object to inspect the results.</w:t>
      </w:r>
    </w:p>
    <w:p>
      <w:pPr>
        <w:pStyle w:val="BodyText"/>
      </w:pPr>
      <w:r>
        <w:t xml:space="preserve">The output tells us that we ran a Fixed-Effects model with 73 effect sizes. The pooled estimate for the correlation coefficient is ~0.04, showing a very small yet statistically significant correlation.</w:t>
      </w:r>
    </w:p>
    <w:bookmarkEnd w:id="28"/>
    <w:bookmarkStart w:id="29"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fit this alternative model simply by changing the</w:t>
      </w:r>
      <w:r>
        <w:t xml:space="preserve"> </w:t>
      </w:r>
      <w:r>
        <w:rPr>
          <w:rStyle w:val="VerbatimChar"/>
        </w:rPr>
        <w:t xml:space="preserve">method</w:t>
      </w:r>
      <w:r>
        <w:t xml:space="preserve"> </w:t>
      </w:r>
      <w:r>
        <w:t xml:space="preserve">argument within the meta-analysis function. The package provides several different ways to estimate the heterogeneity between studies (you can see these listed in the documentation by running</w:t>
      </w:r>
      <w:r>
        <w:t xml:space="preserve"> </w:t>
      </w:r>
      <w:r>
        <w:rPr>
          <w:rStyle w:val="VerbatimChar"/>
        </w:rPr>
        <w:t xml:space="preserve">help(rma)</w:t>
      </w:r>
      <w:r>
        <w:t xml:space="preserv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FirstParagraph"/>
      </w:pPr>
      <w:r>
        <w:t xml:space="preserve">You should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9"/>
    <w:bookmarkEnd w:id="30"/>
    <w:bookmarkStart w:id="33"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1"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calculating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1"/>
    <w:bookmarkStart w:id="32"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34" w:name="displaying-results-with-forest-plots"/>
    <w:p>
      <w:pPr>
        <w:pStyle w:val="Heading1"/>
      </w:pPr>
      <w:r>
        <w:t xml:space="preserve">5. Displaying results with forest plots</w:t>
      </w:r>
    </w:p>
    <w:p>
      <w:pPr>
        <w:pStyle w:val="FirstParagraph"/>
      </w:pPr>
      <w:r>
        <w:t xml:space="preserve">An easy way to visualise the results is to use a forest plot, which can be generated using</w:t>
      </w:r>
      <w:r>
        <w:t xml:space="preserve"> </w:t>
      </w:r>
      <w:r>
        <w:rPr>
          <w:rStyle w:val="VerbatimChar"/>
        </w:rPr>
        <w:t xml:space="preserve">forest()</w:t>
      </w:r>
      <w:r>
        <w:t xml:space="preserve"> </w:t>
      </w:r>
      <w:r>
        <w:t xml:space="preserve">function. We simply give the function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Use the plot to ask yourself the following questions: How many individual samples showed significant effects? Were they positive or negative? Which study samples had the largest influence on the results?</w:t>
      </w:r>
    </w:p>
    <w:p>
      <w:pPr>
        <w:pStyle w:val="BodyText"/>
      </w:pPr>
      <w:r>
        <w:t xml:space="preserve">Create forest plots for the different models you ran above, and see how the pooled estimate at the bottom changes in whether it crosses the 0 line. You can use the forward and back arrows at the top of the plot window to switch between the different figures you’ve made.</w:t>
      </w:r>
    </w:p>
    <w:bookmarkEnd w:id="34"/>
    <w:bookmarkStart w:id="36"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5">
        <w:r>
          <w:rPr>
            <w:rStyle w:val="Hyperlink"/>
          </w:rPr>
          <w:t xml:space="preserve">this linked guide for interpreting the funnel plots</w:t>
        </w:r>
      </w:hyperlink>
      <w:r>
        <w:t xml:space="preserve">. What do you conclude?</w:t>
      </w:r>
    </w:p>
    <w:p>
      <w:pPr>
        <w:pStyle w:val="BodyText"/>
      </w:pPr>
      <w:r>
        <w:t xml:space="preserve">There is also a statistical test for the asymmetry called</w:t>
      </w:r>
      <w:r>
        <w:t xml:space="preserve"> </w:t>
      </w:r>
      <w:r>
        <w:rPr>
          <w:i/>
          <w:iCs/>
        </w:rPr>
        <w:t xml:space="preserve">Egger’s regression test</w:t>
      </w:r>
      <w:r>
        <w:t xml:space="preserve">. There’s a built-in function for this in the</w:t>
      </w:r>
      <w:r>
        <w:t xml:space="preserve"> </w:t>
      </w:r>
      <w:r>
        <w:rPr>
          <w:i/>
          <w:iCs/>
        </w:rPr>
        <w:t xml:space="preserve">metafor</w:t>
      </w:r>
      <w:r>
        <w:t xml:space="preserve"> </w:t>
      </w:r>
      <w:r>
        <w:t xml:space="preserve">package. Search online to see if you can find the relevant function, then apply it here.</w:t>
      </w:r>
    </w:p>
    <w:bookmarkEnd w:id="36"/>
    <w:bookmarkStart w:id="44"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7">
        <w:r>
          <w:rPr>
            <w:rStyle w:val="Hyperlink"/>
          </w:rPr>
          <w:t xml:space="preserve">access the full paper here</w:t>
        </w:r>
      </w:hyperlink>
      <w:r>
        <w:t xml:space="preserve"> </w:t>
      </w:r>
      <w:r>
        <w:t xml:space="preserve">or</w:t>
      </w:r>
      <w:r>
        <w:t xml:space="preserve"> </w:t>
      </w:r>
      <w:hyperlink r:id="rId38">
        <w:r>
          <w:rPr>
            <w:rStyle w:val="Hyperlink"/>
          </w:rPr>
          <w:t xml:space="preserve">download the full dataset and analysis scripts</w:t>
        </w:r>
      </w:hyperlink>
      <w:r>
        <w:t xml:space="preserve">.</w:t>
      </w:r>
    </w:p>
    <w:bookmarkStart w:id="39"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p>
      <w:pPr>
        <w:pStyle w:val="SourceCode"/>
      </w:pPr>
      <w:r>
        <w:rPr>
          <w:rStyle w:val="DocumentationTok"/>
        </w:rPr>
        <w:t xml:space="preserve">## Compute sampling variance for full dataset</w:t>
      </w:r>
      <w:r>
        <w:br/>
      </w:r>
      <w:r>
        <w:rPr>
          <w:rStyle w:val="NormalTok"/>
        </w:rPr>
        <w:t xml:space="preserve">full_dat_var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full_dat)  </w:t>
      </w:r>
      <w:r>
        <w:rPr>
          <w:rStyle w:val="CommentTok"/>
        </w:rPr>
        <w:t xml:space="preserve"># dataset</w:t>
      </w:r>
      <w:r>
        <w:br/>
      </w:r>
      <w:r>
        <w:br/>
      </w:r>
      <w:r>
        <w:rPr>
          <w:rStyle w:val="DocumentationTok"/>
        </w:rPr>
        <w:t xml:space="preserve">## Run model with Group factor as moderator</w:t>
      </w:r>
      <w:r>
        <w:br/>
      </w:r>
      <w:r>
        <w:rPr>
          <w:rStyle w:val="NormalTok"/>
        </w:rPr>
        <w:t xml:space="preserve">group_mod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NormalTok"/>
        </w:rPr>
        <w:t xml:space="preserve"> </w:t>
      </w:r>
      <w:r>
        <w:rPr>
          <w:rStyle w:val="FunctionTok"/>
        </w:rPr>
        <w:t xml:space="preserve">factor</w:t>
      </w:r>
      <w:r>
        <w:rPr>
          <w:rStyle w:val="NormalTok"/>
        </w:rPr>
        <w:t xml:space="preserve">(Group),</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full_dat_var)</w:t>
      </w:r>
      <w:r>
        <w:br/>
      </w:r>
      <w:r>
        <w:rPr>
          <w:rStyle w:val="FunctionTok"/>
        </w:rPr>
        <w:t xml:space="preserve">summary</w:t>
      </w:r>
      <w:r>
        <w:rPr>
          <w:rStyle w:val="NormalTok"/>
        </w:rPr>
        <w:t xml:space="preserve">(group_mod)  </w:t>
      </w:r>
      <w:r>
        <w:rPr>
          <w:rStyle w:val="CommentTok"/>
        </w:rPr>
        <w:t xml:space="preserve"># no effect of group (p = 0.159)</w:t>
      </w:r>
    </w:p>
    <w:bookmarkEnd w:id="39"/>
    <w:bookmarkStart w:id="43"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40">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1">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2">
              <w:r>
                <w:rPr>
                  <w:rStyle w:val="Hyperlink"/>
                </w:rPr>
                <w:t xml:space="preserve">VLE Discussion Board</w:t>
              </w:r>
            </w:hyperlink>
            <w:r>
              <w:t xml:space="preserve">.</w:t>
            </w:r>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Meta-analysis</dc:title>
  <dc:creator>Emma James</dc:creator>
  <cp:keywords/>
  <dcterms:created xsi:type="dcterms:W3CDTF">2026-10-22T12:31:02Z</dcterms:created>
  <dcterms:modified xsi:type="dcterms:W3CDTF">2026-10-22T12:31:02Z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