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考え方と取り組みの領域構成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6400761"/>
            <wp:docPr id="1" name="Picture 1" descr="Ⅰ情報収集からⅡ基礎分析、ⅢAIの活用、Ⅳ可視化、Ⅴナレッジ化を経てⅡへ戻る構成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40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【表1】構成要素と役割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4"/>
        <w:gridCol w:w="1644"/>
        <w:gridCol w:w="2211"/>
        <w:gridCol w:w="5726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/>
                <w:color w:val="000000"/>
                <w:sz w:val="17"/>
              </w:rPr>
              <w:t>番号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7"/>
              </w:rPr>
              <w:t>領域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7"/>
              </w:rPr>
              <w:t>構成要素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7"/>
              </w:rPr>
              <w:t>役割・考え方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Ⅰ 情報収集・蓄積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情報源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対象分野を限定せず、分析の材料となる公式情報などを扱う。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102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Ⅰ 情報収集・蓄積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情報収集部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定めた手順に従って情報を取得し、蓄積する。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103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Ⅰ 情報収集・蓄積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情報記憶部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取得した情報を、過去のデータ・経験・材料として保持する。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201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Ⅱ Hotaka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EvaluationDate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現在または過去に設定する、分析材料の基準となる時点。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202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Ⅱ Hotaka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分析材料の選択部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EvaluationDateの時点で得られる情報を分析材料として選択する。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203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Ⅱ Hotaka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基礎分析部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明示した対象・項目・条件に従い、基礎分析を行う。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204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Ⅱ Hotaka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基礎分析結果記憶部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基礎分析の結果を保持し、Ⅲの分析に渡す。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301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Ⅲ 発想・分析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発想・分析の指向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問い・仮説・着眼点を持ち込み、何について先を考えるかを定める。本取り組みの中心となる発想を扱う。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302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Ⅲ 発想・分析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分析条件の構成部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基礎分析の結果と指向・問いを整理し、分析入力を構成する。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303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Ⅲ 発想・分析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AIを活用した分析部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過去のデータと基礎分析結果を材料に、一定の指向で先を考える。AIを、その分析に活用する。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304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Ⅲ 発想・分析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AI推論基盤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分析の目的と前提に沿って、AIによる推論を支える。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305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Ⅲ 発想・分析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分析結果記憶部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分析結果と入力・応答の履歴を保持する。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401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Ⅳ 可視化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可視化部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定めた表示方法に従い、分析結果を可視化する。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501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Ⅴ 知識化・再入力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検討結果の整理部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観察・解釈・仮説を区別し、根拠と検討経緯を記録する。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502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Ⅴ 知識化・再入力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ナレッジ構成部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知見・根拠・適用条件・検証状態・利用可能時点を整理する。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Ⅴ 知識化・再入力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ベクトル化・知識記憶部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知識をベクトル化し、元の記述や根拠と対応づけて蓄積する。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504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Ⅴ 知識化・再入力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関連知識の検索・入力部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7"/>
              </w:rPr>
              <w:t>関連知識を、Ⅱの分析対象・項目・条件の設定に利用する。</w:t>
            </w:r>
          </w:p>
        </w:tc>
      </w:tr>
    </w:tbl>
    <w:p>
      <w:r>
        <w:br w:type="page"/>
      </w:r>
    </w:p>
    <w:p>
      <w:pPr>
        <w:pStyle w:val="Heading1"/>
      </w:pPr>
      <w:r>
        <w:t>Ⅰ 情報収集・蓄積</w:t>
      </w:r>
    </w:p>
    <w:p>
      <w:pPr>
        <w:pStyle w:val="Heading2"/>
      </w:pPr>
      <w:r>
        <w:t>101  情報源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先を考えるための材料を、確認できる情報源から得る。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確認できる情報源から、時点・対象・情報の意味を明らかにして材料を得る。</w:t>
              <w:br/>
              <w:t>対象分野に応じた情報を、分析に使える材料として扱う。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102  情報収集部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材料を継続的に集め、情報の不足や変化を把握できるようにする。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収集した情報を出典や時点と対応づけ、その意味を保って整理する。</w:t>
              <w:br/>
              <w:t>材料の範囲や不足を把握し、分析に必要な情報を蓄積する。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103  情報記憶部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取得した事実を、繰り返し分析に使える材料として残す。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材料を元の情報や出典と対応づけ、後から確認できる形で保持する。</w:t>
              <w:br/>
              <w:t>取得情報と、後続の集計・解釈を分離して管理する。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Ⅱ Hotaka｜基礎分析</w:t>
      </w:r>
    </w:p>
    <w:p>
      <w:pPr>
        <w:pStyle w:val="Heading2"/>
      </w:pPr>
      <w:r>
        <w:t>201  EvaluationDate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現在でも過去でも、その時点の材料から先を考えられるようにする。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EvaluationDateを、分析に利用できる情報を定める基準時点とする。</w:t>
              <w:br/>
              <w:t>過去時点の再現では、その時点で利用可能だった情報を材料とする。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202  分析材料の選択部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情報の条件や違いを保ち、分析対象に合った材料を用意する。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対象・期間・属性・利用可能時点を確認し、分析目的に応じて材料を選ぶ。</w:t>
              <w:br/>
              <w:t>対象や状況の変化を考慮し、意味の異なる情報を混同しない。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203  基礎分析部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解釈や仮説の土台となる、条件の明確な分析基礎データを作る。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明示した対象・項目・条件に従い、定めた分析を行う。</w:t>
              <w:br/>
              <w:t>比較や変化の把握に使う材料を整え、解釈や仮説とは区別する。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204  基礎分析結果記憶部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各時点の分析材料を残し、過去の比較とⅢへの受け渡しを可能にする。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基礎分析の出力を、評価基準日と分析条件に対応づけて保持する。</w:t>
              <w:br/>
              <w:t>Ⅲで導く解釈・仮説を含む分析結果とは区別する。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Ⅲ 発想・分析の指向｜問いと入力の構成</w:t>
      </w:r>
    </w:p>
    <w:p>
      <w:pPr>
        <w:pStyle w:val="Heading2"/>
      </w:pPr>
      <w:r>
        <w:t>301  発想・分析の指向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過去のデータを経験・材料として、何について先を考えるかを定める。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問い・仮説・着眼点を持ち込み、見る対象や関係を選ぶ。</w:t>
              <w:br/>
              <w:t>対象の特性、組合せ、条件への適合、時間による変化などを考える。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302  分析条件の構成部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発想を、AIへ渡せる明確な問いと条件にする。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材料・背景・判断の規則・進め方・出力形式・今回の問いを組み合わせる。</w:t>
              <w:br/>
              <w:t>材料と問いの関係を明確にし、分析の前提を確認できるようにする。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302  入力構成の内訳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共通の約束、対象固有の条件、今回の問いを分けて扱う。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分析の目的と共通の規則、対象に固有の条件を区別する。</w:t>
              <w:br/>
              <w:t>背景となる材料と文脈、検討の進め方を整理する。</w:t>
              <w:br/>
              <w:t>問いと求める結果の表現を明らかにする。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Ⅲ AIの活用｜分析の実行と履歴</w:t>
      </w:r>
    </w:p>
    <w:p>
      <w:pPr>
        <w:pStyle w:val="Heading2"/>
      </w:pPr>
      <w:r>
        <w:t>303  AIを活用した分析部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材料と発想を結びつけ、その先を考える分析にAIを活用する。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材料・条件・問いをもとにAIで複数の見方や仮説を検討し、人の判断につなげる。</w:t>
              <w:br/>
              <w:t>AIが未来を知っていることを前提にせず、材料から考えられる範囲を探る。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304  AI推論基盤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分析の目的と前提に沿って、AIによる推論を支える。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材料と問いを受け取り、分析に利用できる応答を得る。</w:t>
              <w:br/>
              <w:t>分析の指向と、その検討を支える推論の役割を分ける。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305  分析結果記憶部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どの材料・問いから得た応答かを振り返り、次の検討へつなげる。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材料・問い・条件・応答を対応づけ、検討の経緯を保持する。</w:t>
              <w:br/>
              <w:t>Ⅲの分析結果と、Ⅱで用意した分析基礎データを区別する。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Ⅳ 可視化｜検討結果を知識につなぐ</w:t>
      </w:r>
    </w:p>
    <w:p>
      <w:pPr>
        <w:pStyle w:val="Heading2"/>
      </w:pPr>
      <w:r>
        <w:t>401  可視化部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材料・基礎分析・分析結果を、人が比較して検討できる形で示す。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定めた表示方法で、対象・期間・評価日を区別して表示する。</w:t>
              <w:br/>
              <w:t>元の事実、集計値、仮説を含む結果を混同しない構成とする。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401 → 501  可視化から検討結果の整理へ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比較・検討した内容を、次の分析で再利用できる知識の材料にする。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表示結果に対する観察・解釈・仮説を、参照した分析結果とともにⅤへ渡す。</w:t>
              <w:br/>
              <w:t>実際の結果と照合できる時点では、その差や適用条件も記録する。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Ⅴ ナレッジ化・ベクトル化｜基礎分析への入力</w:t>
      </w:r>
    </w:p>
    <w:p>
      <w:pPr>
        <w:pStyle w:val="Heading2"/>
      </w:pPr>
      <w:r>
        <w:t>501  検討結果の整理部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検討から得た気づきを、根拠に戻って確認できる記録にする。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観察した事実・解釈・仮説を分け、対象・評価日・参照結果を記録する。</w:t>
              <w:br/>
              <w:t>反例や未確認事項も残し、検討に至った経緯を辿れるようにする。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502  ナレッジ構成部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検討結果を、条件を明示して再利用できる知識として整理する。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知見・根拠・適用条件・検証状態をひとまとまりにする。</w:t>
              <w:br/>
              <w:t>知識の作成・更新時点を保持し、未検証の仮説と検証済みの知見を区別する。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503  ベクトル化・知識記憶部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蓄積した知識を、意味の近い内容から検索できるようにする。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ナレッジをベクトル化し、元の記述・根拠・適用条件と対応づけて蓄積する。</w:t>
              <w:br/>
              <w:t>ベクトルの類似性と知見の妥当性は分けて扱う。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504 → 203  関連知識の検索・入力部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9071"/>
      </w:tblGrid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目的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関連知識を、Ⅱの分析対象・項目・条件の設定に活かす。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仕組み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関連知識の根拠・適用条件・検証状態を確認し、分析条件として明示する。</w:t>
              <w:br/>
              <w:t>過去時点の再現では、その時点で利用可能だった知識に限定する。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循環</w:t>
            </w:r>
          </w:p>
        </w:tc>
        <w:tc>
          <w:tcPr>
            <w:tcW w:type="dxa" w:w="907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20"/>
              </w:rPr>
              <w:t>Ⅴ→Ⅱ→Ⅲ→Ⅳ→Ⅴ</w:t>
              <w:br/>
              <w:t>Ⅰ 情報収集・蓄積　　Ⅱ Hotaka：基礎分析</w:t>
              <w:br/>
              <w:t>Ⅲ 発想・分析の指向とAIの活用　　Ⅳ 可視化</w:t>
              <w:br/>
              <w:t>Ⅴ ナレッジ化・ベクトル化と基礎分析への入力</w:t>
              <w:br/>
              <w:t>Ⅰの情報を土台とし、Ⅴの知識をⅡの条件設定に活かして循環する。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【表2】領域と内容｜Ⅰ・Ⅱ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4"/>
        <w:gridCol w:w="2608"/>
        <w:gridCol w:w="6973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/>
                <w:color w:val="000000"/>
                <w:sz w:val="19"/>
              </w:rPr>
              <w:t>番号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9"/>
              </w:rPr>
              <w:t>領域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101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情報源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先を考えるための材料を、確認できる情報源から得る。</w:t>
              <w:br/>
              <w:t>対象分野に応じて、情報の意味と範囲を明らかにする。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102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情報収集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必要な材料を継続的に集め、情報の不足や変化を把握する。</w:t>
              <w:br/>
              <w:t>収集した情報を出典や時点と対応づけて整理する。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情報の蓄積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材料を出典と対応づけ、繰り返し分析に使える形で保持する。</w:t>
              <w:br/>
              <w:t>元の情報と、分析や解釈によって得られた結果を区別する。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201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評価基準日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分析に利用できる情報を定める基準時点を置く。</w:t>
              <w:br/>
              <w:t>過去時点の再現では、その時点で利用可能だった材料を用いる。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202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分析材料の選択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対象・期間・属性・利用可能時点を確認し、目的に合った材料を選ぶ。</w:t>
              <w:br/>
              <w:t>情報の条件や違いを保ち、意味の異なる材料を混同しない。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203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基礎分析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明示した対象・項目・条件に従い、解釈や仮説の土台となる分析を行う。</w:t>
              <w:br/>
              <w:t>Ⅴの知識を条件設定に活かし、元の事実と区別して扱う。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204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基礎分析結果の保持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基礎分析の結果を、評価基準日と分析条件に対応づけて保持する。</w:t>
              <w:br/>
              <w:t>条件間の比較とⅢへの受け渡しに使う材料とする。</w:t>
            </w:r>
          </w:p>
        </w:tc>
      </w:tr>
    </w:tbl>
    <w:p>
      <w:r>
        <w:br w:type="page"/>
      </w:r>
    </w:p>
    <w:p>
      <w:pPr>
        <w:pStyle w:val="Heading1"/>
      </w:pPr>
      <w:r>
        <w:t>【表3】領域と内容｜Ⅲ・Ⅳ・Ⅴ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4"/>
        <w:gridCol w:w="2608"/>
        <w:gridCol w:w="6973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/>
                <w:color w:val="000000"/>
                <w:sz w:val="19"/>
              </w:rPr>
              <w:t>番号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9"/>
              </w:rPr>
              <w:t>領域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301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発想・分析の指向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過去の材料から問いや仮説を組み立て、何について先を考えるかを定める。</w:t>
              <w:br/>
              <w:t>観察された事実と解釈を区別し、検討する観点を明らかにする。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302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分析入力の構成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分析の目的に応じて、材料・背景・条件・問いを組み合わせる。</w:t>
              <w:br/>
              <w:t>分析の前提と求める応答を明確にし、一貫した検討につなげる。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303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AIを活用した分析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過去の材料と基礎分析の結果をもとに、一定の指向で先を考える。</w:t>
              <w:br/>
              <w:t>AIを用いて複数の見方や仮説を検討し、結果を人の判断につなげる。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304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AI推論基盤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分析の目的と前提に沿って、材料と問いから応答を得る。</w:t>
              <w:br/>
              <w:t>AIを継続して活用するための共通環境を支える。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305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分析結果・履歴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分析の前提・入力・応答を対応づけ、検討の経緯を保持する。</w:t>
              <w:br/>
              <w:t>条件の違いによる結果を比較し、後から振り返るための材料とする。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可視化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材料・基礎分析・分析結果を、人が比較して検討できる形で示す。</w:t>
              <w:br/>
              <w:t>対象・期間・評価基準日を区別し、結果の理解を助ける。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501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検討結果の整理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可視化された結果への検討を、事実・解釈・仮説に分けて整理する。</w:t>
              <w:br/>
              <w:t>根拠や条件と対応づけ、再利用できる知識の材料とする。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502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ナレッジ化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検討結果を、根拠・適用条件・検証状態を伴う知識としてまとめる。</w:t>
              <w:br/>
              <w:t>知識が利用可能になった時点を保持し、再利用の範囲を明らかにする。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503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ベクトル化・知識の蓄積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ナレッジをベクトル化し、意味の近い知識を検索できる形で蓄積する。</w:t>
              <w:br/>
              <w:t>元の記述や根拠との対応を保ち、類似性と知見の妥当性を分けて扱う。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  <w:jc w:val="center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504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関連知識の入力・循環</w:t>
            </w:r>
          </w:p>
        </w:tc>
        <w:tc>
          <w:tcPr>
            <w:tcW w:type="dxa" w:w="697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widowControl w:val="0"/>
              <w:spacing w:before="0" w:after="0" w:line="259" w:lineRule="auto"/>
              <w:snapToGrid w:val="0"/>
            </w:pPr>
            <w:r>
              <w:rPr>
                <w:rFonts w:ascii="MS Mincho" w:hAnsi="MS Mincho" w:eastAsia="ＭＳ 明朝"/>
                <w:b w:val="0"/>
                <w:color w:val="000000"/>
                <w:sz w:val="19"/>
              </w:rPr>
              <w:t>関連知識の適用条件と利用可能時点を確認し、Ⅱの対象・項目・条件に反映する。</w:t>
              <w:br/>
              <w:t>Ⅴ→Ⅱ→Ⅲ→Ⅳ→Ⅴの循環により、知識を次の分析に活かす。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64" w:lineRule="auto"/>
    </w:pPr>
    <w:rPr>
      <w:rFonts w:ascii="MS Mincho" w:hAnsi="MS Mincho" w:eastAsia="ＭＳ 明朝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480" w:after="120" w:line="264" w:lineRule="auto"/>
      <w:outlineLvl w:val="0"/>
    </w:pPr>
    <w:rPr>
      <w:rFonts w:asciiTheme="majorHAnsi" w:eastAsiaTheme="majorEastAsia" w:hAnsiTheme="majorHAnsi" w:cstheme="majorBidi" w:ascii="MS Mincho" w:hAnsi="MS Mincho" w:eastAsia="ＭＳ 明朝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200" w:after="120" w:line="264" w:lineRule="auto"/>
      <w:outlineLvl w:val="1"/>
    </w:pPr>
    <w:rPr>
      <w:rFonts w:asciiTheme="majorHAnsi" w:eastAsiaTheme="majorEastAsia" w:hAnsiTheme="majorHAnsi" w:cstheme="majorBidi" w:ascii="MS Mincho" w:hAnsi="MS Mincho" w:eastAsia="ＭＳ 明朝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 w:val="0"/>
      <w:spacing w:after="120" w:line="264" w:lineRule="auto"/>
      <w:contextualSpacing/>
    </w:pPr>
    <w:rPr>
      <w:rFonts w:asciiTheme="majorHAnsi" w:eastAsiaTheme="majorEastAsia" w:hAnsiTheme="majorHAnsi" w:cstheme="majorBidi" w:ascii="MS Mincho" w:hAnsi="MS Mincho" w:eastAsia="ＭＳ 明朝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考え方と取り組みの概念構成</dc:title>
  <dc:subject>情報収集 基礎分析 AIの活用 可視化 ナレッジの循環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