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3"/>
        </w:pBdr>
        <w:spacing w:line="14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47"/>
          <w:szCs w:val="47"/>
        </w:rPr>
        <w:t>设计文档</w:t>
      </w: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登录模块（已经过MVVM重构）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输入账号密码后点击submit按钮登录，登录成功后提示欢迎标语并跳转至主界面，如果登录失败则提示账号密码错误标语。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315210" cy="4520565"/>
            <wp:effectExtent l="0" t="0" r="1270" b="571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58385" t="10146" r="19526" b="13177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onospace" w:hAnsi="monospace" w:eastAsia="宋体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0"/>
          <w:sz w:val="26"/>
          <w:szCs w:val="26"/>
          <w:bdr w:val="single" w:color="auto" w:sz="12" w:space="0"/>
        </w:rPr>
        <w:drawing>
          <wp:inline distT="0" distB="0" distL="114300" distR="114300">
            <wp:extent cx="2225675" cy="4465320"/>
            <wp:effectExtent l="0" t="0" r="1460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rcRect l="58342" t="8928" r="19642" b="12556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monospace" w:hAnsi="monospace" w:eastAsia="monospace" w:cs="monospace"/>
          <w:b/>
          <w:i w:val="0"/>
          <w:caps w:val="0"/>
          <w:color w:val="333333"/>
          <w:spacing w:val="0"/>
          <w:sz w:val="26"/>
          <w:szCs w:val="26"/>
          <w:bdr w:val="single" w:color="auto" w:sz="12" w:space="0"/>
        </w:rPr>
      </w:pP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主界面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在主页面中通过recyclerview展示服务器上所有的课程信息，并可以通过搜索栏自定义filter进行模糊过滤，在单击课程名后会跳转到课程详细信息页面。下方有导航栏，可以通过点击“浏览”选项切换到浏览界面。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176145" cy="4394200"/>
            <wp:effectExtent l="0" t="0" r="3175" b="1016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rcRect l="58412" t="8956" r="19546" b="11915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onospace" w:hAnsi="monospace" w:eastAsia="宋体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167890" cy="4346575"/>
            <wp:effectExtent l="0" t="0" r="11430" b="1206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rcRect l="58431" t="9648" r="19642" b="12205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课程详细信息界面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在课程详细信息界面中，可以看到从服务器上加载的课程的所有信息，包括课程名、教师照片、教师姓名、课程介绍以及课程多媒体资料等。点击多媒体资料部分的“播放”图标，可以跳转到多媒体播放界面。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108200" cy="4084320"/>
            <wp:effectExtent l="0" t="0" r="1016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rcRect l="58412" t="9831" r="19220" b="1314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多媒体播放界面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在此界面中，可以通过进图条来拖动控制播放进度，也可进行暂停、播放、快进快退等操作，但由于服务器不是以流的形式传输文件，所以视频在播放的时候会出现严重卡顿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031365" cy="4142105"/>
            <wp:effectExtent l="0" t="0" r="10795" b="317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rcRect l="58554" t="9216" r="19840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414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浏览页面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通过使用基于recyclerview的第三方接口twowayview来实现浏览界面，接收来自服务器的课程信息并展现在twowayview中。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4183C4"/>
          <w:spacing w:val="0"/>
          <w:sz w:val="19"/>
          <w:szCs w:val="19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4183C4"/>
          <w:spacing w:val="0"/>
          <w:sz w:val="19"/>
          <w:szCs w:val="19"/>
        </w:rPr>
        <w:instrText xml:space="preserve"> HYPERLINK "https://github.com/lucasr/twoway-view" </w:instrText>
      </w:r>
      <w:r>
        <w:rPr>
          <w:rFonts w:hint="default" w:ascii="Open Sans" w:hAnsi="Open Sans" w:eastAsia="Open Sans" w:cs="Open Sans"/>
          <w:i w:val="0"/>
          <w:caps w:val="0"/>
          <w:color w:val="4183C4"/>
          <w:spacing w:val="0"/>
          <w:sz w:val="19"/>
          <w:szCs w:val="19"/>
        </w:rPr>
        <w:fldChar w:fldCharType="separate"/>
      </w:r>
      <w:r>
        <w:rPr>
          <w:rStyle w:val="7"/>
          <w:rFonts w:hint="default" w:ascii="Open Sans" w:hAnsi="Open Sans" w:eastAsia="Open Sans" w:cs="Open Sans"/>
          <w:i w:val="0"/>
          <w:caps w:val="0"/>
          <w:color w:val="4183C4"/>
          <w:spacing w:val="0"/>
          <w:sz w:val="19"/>
          <w:szCs w:val="19"/>
        </w:rPr>
        <w:t>https://github.com/lucasr/twoway-view</w:t>
      </w:r>
      <w:r>
        <w:rPr>
          <w:rFonts w:hint="default" w:ascii="Open Sans" w:hAnsi="Open Sans" w:eastAsia="Open Sans" w:cs="Open Sans"/>
          <w:i w:val="0"/>
          <w:caps w:val="0"/>
          <w:color w:val="4183C4"/>
          <w:spacing w:val="0"/>
          <w:sz w:val="19"/>
          <w:szCs w:val="1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在此界面点击播放按钮同样会跳转至多媒体播放界面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bookmarkStart w:id="0" w:name="_GoBack"/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624455" cy="5334635"/>
            <wp:effectExtent l="0" t="0" r="12065" b="1460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rcRect l="64823" t="7249" r="13165" b="1321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624455" cy="533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A2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2020-01-04T12:11:35Z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