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0201" w14:textId="18E1FCDE" w:rsidR="002E1D63" w:rsidRPr="00FB272C" w:rsidRDefault="00E21863">
      <w:pPr>
        <w:rPr>
          <w:b/>
          <w:bCs/>
        </w:rPr>
      </w:pPr>
      <w:r w:rsidRPr="00FB272C">
        <w:rPr>
          <w:b/>
          <w:bCs/>
        </w:rPr>
        <w:t>Miscanthus parameters for plant.dat</w:t>
      </w:r>
    </w:p>
    <w:tbl>
      <w:tblPr>
        <w:tblStyle w:val="TableGrid"/>
        <w:tblW w:w="0" w:type="auto"/>
        <w:tblLook w:val="04A0" w:firstRow="1" w:lastRow="0" w:firstColumn="1" w:lastColumn="0" w:noHBand="0" w:noVBand="1"/>
      </w:tblPr>
      <w:tblGrid>
        <w:gridCol w:w="1407"/>
        <w:gridCol w:w="1226"/>
        <w:gridCol w:w="3750"/>
        <w:gridCol w:w="592"/>
        <w:gridCol w:w="2424"/>
      </w:tblGrid>
      <w:tr w:rsidR="002E1D63" w14:paraId="4DB2A487" w14:textId="77777777" w:rsidTr="00F7259D">
        <w:tc>
          <w:tcPr>
            <w:tcW w:w="1407" w:type="dxa"/>
          </w:tcPr>
          <w:p w14:paraId="52644DDF" w14:textId="3BA5694E" w:rsidR="002E1D63" w:rsidRPr="006F0551" w:rsidRDefault="00E21863">
            <w:pPr>
              <w:rPr>
                <w:b/>
                <w:bCs/>
              </w:rPr>
            </w:pPr>
            <w:r w:rsidRPr="006F0551">
              <w:rPr>
                <w:b/>
                <w:bCs/>
              </w:rPr>
              <w:t>Variable</w:t>
            </w:r>
          </w:p>
        </w:tc>
        <w:tc>
          <w:tcPr>
            <w:tcW w:w="1226" w:type="dxa"/>
          </w:tcPr>
          <w:p w14:paraId="6D0C3FDF" w14:textId="36332937" w:rsidR="002E1D63" w:rsidRPr="006F0551" w:rsidRDefault="006F0551">
            <w:pPr>
              <w:rPr>
                <w:b/>
                <w:bCs/>
              </w:rPr>
            </w:pPr>
            <w:r w:rsidRPr="006F0551">
              <w:rPr>
                <w:b/>
                <w:bCs/>
              </w:rPr>
              <w:t>Value</w:t>
            </w:r>
          </w:p>
        </w:tc>
        <w:tc>
          <w:tcPr>
            <w:tcW w:w="3750" w:type="dxa"/>
          </w:tcPr>
          <w:p w14:paraId="09FB4261" w14:textId="7CB8A114" w:rsidR="002E1D63" w:rsidRPr="006F0551" w:rsidRDefault="006F0551">
            <w:pPr>
              <w:rPr>
                <w:b/>
                <w:bCs/>
              </w:rPr>
            </w:pPr>
            <w:r w:rsidRPr="006F0551">
              <w:rPr>
                <w:b/>
                <w:bCs/>
              </w:rPr>
              <w:t>Description</w:t>
            </w:r>
          </w:p>
        </w:tc>
        <w:tc>
          <w:tcPr>
            <w:tcW w:w="543" w:type="dxa"/>
          </w:tcPr>
          <w:p w14:paraId="072E3A2A" w14:textId="2BE94A57" w:rsidR="002E1D63" w:rsidRPr="006F0551" w:rsidRDefault="006F0551">
            <w:pPr>
              <w:rPr>
                <w:b/>
                <w:bCs/>
              </w:rPr>
            </w:pPr>
            <w:r w:rsidRPr="006F0551">
              <w:rPr>
                <w:b/>
                <w:bCs/>
              </w:rPr>
              <w:t>Line</w:t>
            </w:r>
          </w:p>
        </w:tc>
        <w:tc>
          <w:tcPr>
            <w:tcW w:w="2424" w:type="dxa"/>
          </w:tcPr>
          <w:p w14:paraId="137A1635" w14:textId="32F06DEA" w:rsidR="002E1D63" w:rsidRPr="006F0551" w:rsidRDefault="002E1D63">
            <w:pPr>
              <w:rPr>
                <w:b/>
                <w:bCs/>
              </w:rPr>
            </w:pPr>
            <w:r w:rsidRPr="006F0551">
              <w:rPr>
                <w:b/>
                <w:bCs/>
              </w:rPr>
              <w:t>Reference</w:t>
            </w:r>
          </w:p>
        </w:tc>
      </w:tr>
      <w:tr w:rsidR="002E1D63" w14:paraId="7F95E036" w14:textId="77777777" w:rsidTr="00F7259D">
        <w:tc>
          <w:tcPr>
            <w:tcW w:w="1407" w:type="dxa"/>
          </w:tcPr>
          <w:p w14:paraId="595EAE80" w14:textId="69E11DE4" w:rsidR="002E1D63" w:rsidRDefault="002951BB">
            <w:r>
              <w:t>ICNUM</w:t>
            </w:r>
          </w:p>
        </w:tc>
        <w:tc>
          <w:tcPr>
            <w:tcW w:w="1226" w:type="dxa"/>
          </w:tcPr>
          <w:p w14:paraId="20594E14" w14:textId="55046911" w:rsidR="002E1D63" w:rsidRDefault="0090563C">
            <w:r>
              <w:t>142</w:t>
            </w:r>
          </w:p>
        </w:tc>
        <w:tc>
          <w:tcPr>
            <w:tcW w:w="3750" w:type="dxa"/>
          </w:tcPr>
          <w:p w14:paraId="1D15061F" w14:textId="251EA217" w:rsidR="002E1D63" w:rsidRDefault="002951BB">
            <w:r>
              <w:t>Land cover/plant code</w:t>
            </w:r>
          </w:p>
        </w:tc>
        <w:tc>
          <w:tcPr>
            <w:tcW w:w="543" w:type="dxa"/>
          </w:tcPr>
          <w:p w14:paraId="4A989739" w14:textId="7A8B4A02" w:rsidR="002E1D63" w:rsidRDefault="0090563C">
            <w:r>
              <w:t>1</w:t>
            </w:r>
          </w:p>
        </w:tc>
        <w:tc>
          <w:tcPr>
            <w:tcW w:w="2424" w:type="dxa"/>
          </w:tcPr>
          <w:p w14:paraId="5AEE35E1" w14:textId="3B0D5FEE" w:rsidR="002E1D63" w:rsidRDefault="00EC115F">
            <w:r>
              <w:t>--</w:t>
            </w:r>
          </w:p>
        </w:tc>
      </w:tr>
      <w:tr w:rsidR="002E1D63" w14:paraId="343174D0" w14:textId="77777777" w:rsidTr="00F7259D">
        <w:tc>
          <w:tcPr>
            <w:tcW w:w="1407" w:type="dxa"/>
          </w:tcPr>
          <w:p w14:paraId="33C771E7" w14:textId="5626869D" w:rsidR="002E1D63" w:rsidRDefault="0090563C">
            <w:r>
              <w:t>CPNUM</w:t>
            </w:r>
          </w:p>
        </w:tc>
        <w:tc>
          <w:tcPr>
            <w:tcW w:w="1226" w:type="dxa"/>
          </w:tcPr>
          <w:p w14:paraId="05696F2E" w14:textId="1BC15BF4" w:rsidR="002E1D63" w:rsidRDefault="0090563C">
            <w:r>
              <w:t>MISG</w:t>
            </w:r>
          </w:p>
        </w:tc>
        <w:tc>
          <w:tcPr>
            <w:tcW w:w="3750" w:type="dxa"/>
          </w:tcPr>
          <w:p w14:paraId="38DAFD65" w14:textId="18B6B5F0" w:rsidR="002E1D63" w:rsidRDefault="0090563C">
            <w:r>
              <w:t>Four character code to represent land cover/plant name</w:t>
            </w:r>
          </w:p>
        </w:tc>
        <w:tc>
          <w:tcPr>
            <w:tcW w:w="543" w:type="dxa"/>
          </w:tcPr>
          <w:p w14:paraId="4437E2AF" w14:textId="346E66A5" w:rsidR="002E1D63" w:rsidRDefault="0090563C">
            <w:r>
              <w:t>1</w:t>
            </w:r>
          </w:p>
        </w:tc>
        <w:tc>
          <w:tcPr>
            <w:tcW w:w="2424" w:type="dxa"/>
          </w:tcPr>
          <w:p w14:paraId="2F0028FE" w14:textId="49C84B1D" w:rsidR="002E1D63" w:rsidRDefault="00EC115F">
            <w:r>
              <w:t>--</w:t>
            </w:r>
          </w:p>
        </w:tc>
      </w:tr>
      <w:tr w:rsidR="002E1D63" w14:paraId="255AC2A4" w14:textId="77777777" w:rsidTr="00F7259D">
        <w:tc>
          <w:tcPr>
            <w:tcW w:w="1407" w:type="dxa"/>
          </w:tcPr>
          <w:p w14:paraId="685B0F8D" w14:textId="78972855" w:rsidR="002E1D63" w:rsidRDefault="0090563C">
            <w:r>
              <w:t>IDC</w:t>
            </w:r>
          </w:p>
        </w:tc>
        <w:tc>
          <w:tcPr>
            <w:tcW w:w="1226" w:type="dxa"/>
          </w:tcPr>
          <w:p w14:paraId="087072B6" w14:textId="361DC5E2" w:rsidR="002E1D63" w:rsidRDefault="00F8241D">
            <w:r>
              <w:t>6</w:t>
            </w:r>
          </w:p>
        </w:tc>
        <w:tc>
          <w:tcPr>
            <w:tcW w:w="3750" w:type="dxa"/>
          </w:tcPr>
          <w:p w14:paraId="5CED6577" w14:textId="7DCEBE61" w:rsidR="002E1D63" w:rsidRDefault="00F8241D">
            <w:r>
              <w:t>Land cover/plant classification (perennial)</w:t>
            </w:r>
          </w:p>
        </w:tc>
        <w:tc>
          <w:tcPr>
            <w:tcW w:w="543" w:type="dxa"/>
          </w:tcPr>
          <w:p w14:paraId="1A5A6CA9" w14:textId="7F6A8758" w:rsidR="002E1D63" w:rsidRDefault="00F8241D">
            <w:r>
              <w:t>1</w:t>
            </w:r>
          </w:p>
        </w:tc>
        <w:tc>
          <w:tcPr>
            <w:tcW w:w="2424" w:type="dxa"/>
          </w:tcPr>
          <w:p w14:paraId="1A074E7D" w14:textId="42062EED" w:rsidR="002E1D63" w:rsidRDefault="00EC115F">
            <w:r>
              <w:t>--</w:t>
            </w:r>
          </w:p>
        </w:tc>
      </w:tr>
      <w:tr w:rsidR="002E1D63" w14:paraId="532944C8" w14:textId="77777777" w:rsidTr="00F7259D">
        <w:tc>
          <w:tcPr>
            <w:tcW w:w="1407" w:type="dxa"/>
          </w:tcPr>
          <w:p w14:paraId="25E9CE05" w14:textId="42F0AA4B" w:rsidR="002E1D63" w:rsidRDefault="00F8241D">
            <w:r>
              <w:t>BIO_E</w:t>
            </w:r>
          </w:p>
        </w:tc>
        <w:tc>
          <w:tcPr>
            <w:tcW w:w="1226" w:type="dxa"/>
          </w:tcPr>
          <w:p w14:paraId="15915163" w14:textId="523665F6" w:rsidR="002E1D63" w:rsidRDefault="005A19EF">
            <w:r>
              <w:t>41.00</w:t>
            </w:r>
          </w:p>
        </w:tc>
        <w:tc>
          <w:tcPr>
            <w:tcW w:w="3750" w:type="dxa"/>
          </w:tcPr>
          <w:p w14:paraId="02EC05F4" w14:textId="5BBB0965" w:rsidR="002E1D63" w:rsidRDefault="0052549E">
            <w:r>
              <w:t>Radiation use efficiency</w:t>
            </w:r>
            <w:r w:rsidR="00C3199F">
              <w:t xml:space="preserve"> or biomass energy ratio ((kg/ha)/(MJ/m2))</w:t>
            </w:r>
          </w:p>
        </w:tc>
        <w:tc>
          <w:tcPr>
            <w:tcW w:w="543" w:type="dxa"/>
          </w:tcPr>
          <w:p w14:paraId="33AD23F4" w14:textId="0BF25F71" w:rsidR="002E1D63" w:rsidRDefault="005A19EF">
            <w:r>
              <w:t>2</w:t>
            </w:r>
          </w:p>
        </w:tc>
        <w:tc>
          <w:tcPr>
            <w:tcW w:w="2424" w:type="dxa"/>
          </w:tcPr>
          <w:p w14:paraId="144917F8" w14:textId="51D4E97F" w:rsidR="002E1D63" w:rsidRDefault="009A6B0F">
            <w:r>
              <w:t>Cibin et al., 2014</w:t>
            </w:r>
          </w:p>
        </w:tc>
      </w:tr>
      <w:tr w:rsidR="002E1D63" w14:paraId="62E087AE" w14:textId="77777777" w:rsidTr="00F7259D">
        <w:tc>
          <w:tcPr>
            <w:tcW w:w="1407" w:type="dxa"/>
          </w:tcPr>
          <w:p w14:paraId="714095A1" w14:textId="3476B85B" w:rsidR="002E1D63" w:rsidRDefault="00C3199F">
            <w:r>
              <w:t>HVSTI</w:t>
            </w:r>
          </w:p>
        </w:tc>
        <w:tc>
          <w:tcPr>
            <w:tcW w:w="1226" w:type="dxa"/>
          </w:tcPr>
          <w:p w14:paraId="55B92DAF" w14:textId="74B1D5D6" w:rsidR="002E1D63" w:rsidRDefault="005A19EF">
            <w:r>
              <w:t>1.00</w:t>
            </w:r>
          </w:p>
        </w:tc>
        <w:tc>
          <w:tcPr>
            <w:tcW w:w="3750" w:type="dxa"/>
          </w:tcPr>
          <w:p w14:paraId="3C1A7781" w14:textId="41200256" w:rsidR="002E1D63" w:rsidRDefault="005A19EF">
            <w:r>
              <w:t>Harvest index for optimal growing conditions</w:t>
            </w:r>
          </w:p>
        </w:tc>
        <w:tc>
          <w:tcPr>
            <w:tcW w:w="543" w:type="dxa"/>
          </w:tcPr>
          <w:p w14:paraId="5E675D0A" w14:textId="6C443A0E" w:rsidR="002E1D63" w:rsidRDefault="005A19EF">
            <w:r>
              <w:t>2</w:t>
            </w:r>
          </w:p>
        </w:tc>
        <w:tc>
          <w:tcPr>
            <w:tcW w:w="2424" w:type="dxa"/>
          </w:tcPr>
          <w:p w14:paraId="3E6925EB" w14:textId="38BC52D0" w:rsidR="002E1D63" w:rsidRDefault="00FB272C">
            <w:r>
              <w:t>Cibin et al., 2014</w:t>
            </w:r>
            <w:r w:rsidR="00EA16AD">
              <w:t xml:space="preserve">; </w:t>
            </w:r>
            <w:r w:rsidR="008E5E44">
              <w:t>Trybula et al., 2014</w:t>
            </w:r>
            <w:r w:rsidR="00EA16AD">
              <w:t>; Ng et al., 2011</w:t>
            </w:r>
          </w:p>
        </w:tc>
      </w:tr>
      <w:tr w:rsidR="00756A68" w14:paraId="04846ACC" w14:textId="77777777" w:rsidTr="00F7259D">
        <w:tc>
          <w:tcPr>
            <w:tcW w:w="1407" w:type="dxa"/>
          </w:tcPr>
          <w:p w14:paraId="5AC1F9D9" w14:textId="6027FB15" w:rsidR="00756A68" w:rsidRDefault="00756A68" w:rsidP="00756A68">
            <w:r>
              <w:t>BLAI</w:t>
            </w:r>
          </w:p>
        </w:tc>
        <w:tc>
          <w:tcPr>
            <w:tcW w:w="1226" w:type="dxa"/>
          </w:tcPr>
          <w:p w14:paraId="5E9AD94A" w14:textId="3615A882" w:rsidR="00756A68" w:rsidRDefault="00756A68" w:rsidP="00756A68">
            <w:r>
              <w:t>11.00</w:t>
            </w:r>
          </w:p>
        </w:tc>
        <w:tc>
          <w:tcPr>
            <w:tcW w:w="3750" w:type="dxa"/>
          </w:tcPr>
          <w:p w14:paraId="758ED574" w14:textId="335F78FB" w:rsidR="00756A68" w:rsidRDefault="00756A68" w:rsidP="00756A68">
            <w:r>
              <w:t>Maximum potential leaf area index</w:t>
            </w:r>
          </w:p>
        </w:tc>
        <w:tc>
          <w:tcPr>
            <w:tcW w:w="543" w:type="dxa"/>
          </w:tcPr>
          <w:p w14:paraId="039FC0B9" w14:textId="70B10ECC" w:rsidR="00756A68" w:rsidRDefault="00756A68" w:rsidP="00756A68">
            <w:r>
              <w:t>2</w:t>
            </w:r>
          </w:p>
        </w:tc>
        <w:tc>
          <w:tcPr>
            <w:tcW w:w="2424" w:type="dxa"/>
          </w:tcPr>
          <w:p w14:paraId="22B13D2B" w14:textId="61D95C94" w:rsidR="00756A68" w:rsidRDefault="00756A68" w:rsidP="00756A68">
            <w:r>
              <w:t>Cibin et al., 2014 and Trybula et al., 2014</w:t>
            </w:r>
          </w:p>
        </w:tc>
      </w:tr>
      <w:tr w:rsidR="00756A68" w14:paraId="3F3B73D8" w14:textId="77777777" w:rsidTr="00F7259D">
        <w:tc>
          <w:tcPr>
            <w:tcW w:w="1407" w:type="dxa"/>
          </w:tcPr>
          <w:p w14:paraId="6701D538" w14:textId="6F352ABF" w:rsidR="00756A68" w:rsidRDefault="00756A68" w:rsidP="00756A68">
            <w:r>
              <w:t>FRGRW1</w:t>
            </w:r>
          </w:p>
        </w:tc>
        <w:tc>
          <w:tcPr>
            <w:tcW w:w="1226" w:type="dxa"/>
          </w:tcPr>
          <w:p w14:paraId="4C5DBFA0" w14:textId="7C6A4CEE" w:rsidR="00756A68" w:rsidRDefault="00756A68" w:rsidP="00756A68">
            <w:r>
              <w:t>0.10</w:t>
            </w:r>
          </w:p>
        </w:tc>
        <w:tc>
          <w:tcPr>
            <w:tcW w:w="3750" w:type="dxa"/>
          </w:tcPr>
          <w:p w14:paraId="438D47C0" w14:textId="5A9C3C3B" w:rsidR="00756A68" w:rsidRDefault="00756A68" w:rsidP="00756A68">
            <w:r>
              <w:t>Fraction of plant growing season corresponding to 1</w:t>
            </w:r>
            <w:r w:rsidRPr="004644D7">
              <w:rPr>
                <w:vertAlign w:val="superscript"/>
              </w:rPr>
              <w:t>st</w:t>
            </w:r>
            <w:r>
              <w:t xml:space="preserve"> point on optimal leaf area development curve</w:t>
            </w:r>
          </w:p>
        </w:tc>
        <w:tc>
          <w:tcPr>
            <w:tcW w:w="543" w:type="dxa"/>
          </w:tcPr>
          <w:p w14:paraId="1E065670" w14:textId="77EEFE67" w:rsidR="00756A68" w:rsidRDefault="00756A68" w:rsidP="00756A68">
            <w:r>
              <w:t>2</w:t>
            </w:r>
          </w:p>
        </w:tc>
        <w:tc>
          <w:tcPr>
            <w:tcW w:w="2424" w:type="dxa"/>
          </w:tcPr>
          <w:p w14:paraId="742EB750" w14:textId="3E20C1D0" w:rsidR="00756A68" w:rsidRDefault="00756A68" w:rsidP="00756A68">
            <w:r>
              <w:t>Cibin et al., 2014 and Trybula et al., 2014</w:t>
            </w:r>
          </w:p>
        </w:tc>
      </w:tr>
      <w:tr w:rsidR="00756A68" w14:paraId="3AC2E9E6" w14:textId="77777777" w:rsidTr="00F7259D">
        <w:tc>
          <w:tcPr>
            <w:tcW w:w="1407" w:type="dxa"/>
          </w:tcPr>
          <w:p w14:paraId="34D5D69C" w14:textId="3FCEF3CD" w:rsidR="00756A68" w:rsidRDefault="00756A68" w:rsidP="00756A68">
            <w:r>
              <w:t>LAIMX1</w:t>
            </w:r>
          </w:p>
        </w:tc>
        <w:tc>
          <w:tcPr>
            <w:tcW w:w="1226" w:type="dxa"/>
          </w:tcPr>
          <w:p w14:paraId="0A96E8EE" w14:textId="3993C25D" w:rsidR="00756A68" w:rsidRDefault="00756A68" w:rsidP="00756A68">
            <w:r>
              <w:t>0.10</w:t>
            </w:r>
          </w:p>
        </w:tc>
        <w:tc>
          <w:tcPr>
            <w:tcW w:w="3750" w:type="dxa"/>
          </w:tcPr>
          <w:p w14:paraId="5A72A629" w14:textId="7D563CE4" w:rsidR="00756A68" w:rsidRDefault="00756A68" w:rsidP="00756A68">
            <w:r>
              <w:t>Fraction of maximum leaf area index corresponding to the 1</w:t>
            </w:r>
            <w:r w:rsidRPr="00E20704">
              <w:rPr>
                <w:vertAlign w:val="superscript"/>
              </w:rPr>
              <w:t>st</w:t>
            </w:r>
            <w:r>
              <w:t xml:space="preserve"> point on optimal leaf area development curve</w:t>
            </w:r>
          </w:p>
        </w:tc>
        <w:tc>
          <w:tcPr>
            <w:tcW w:w="543" w:type="dxa"/>
          </w:tcPr>
          <w:p w14:paraId="7B5D5978" w14:textId="706AF1DC" w:rsidR="00756A68" w:rsidRDefault="00756A68" w:rsidP="00756A68">
            <w:r>
              <w:t>2</w:t>
            </w:r>
          </w:p>
        </w:tc>
        <w:tc>
          <w:tcPr>
            <w:tcW w:w="2424" w:type="dxa"/>
          </w:tcPr>
          <w:p w14:paraId="473E43FC" w14:textId="79DE4623" w:rsidR="00756A68" w:rsidRDefault="00756A68" w:rsidP="00756A68">
            <w:r>
              <w:t>Cibin et al., 2014 and Trybula et al., 2014</w:t>
            </w:r>
          </w:p>
        </w:tc>
      </w:tr>
      <w:tr w:rsidR="00756A68" w14:paraId="6CFC5C0D" w14:textId="77777777" w:rsidTr="00F7259D">
        <w:tc>
          <w:tcPr>
            <w:tcW w:w="1407" w:type="dxa"/>
          </w:tcPr>
          <w:p w14:paraId="5B834070" w14:textId="1A95C5CF" w:rsidR="00756A68" w:rsidRDefault="00756A68" w:rsidP="00756A68">
            <w:r>
              <w:t>FRGRW2</w:t>
            </w:r>
          </w:p>
        </w:tc>
        <w:tc>
          <w:tcPr>
            <w:tcW w:w="1226" w:type="dxa"/>
          </w:tcPr>
          <w:p w14:paraId="554BF508" w14:textId="14C641C4" w:rsidR="00756A68" w:rsidRDefault="00756A68" w:rsidP="00756A68">
            <w:r>
              <w:t>0.45</w:t>
            </w:r>
          </w:p>
        </w:tc>
        <w:tc>
          <w:tcPr>
            <w:tcW w:w="3750" w:type="dxa"/>
          </w:tcPr>
          <w:p w14:paraId="5E0426C5" w14:textId="5FF9D536" w:rsidR="00756A68" w:rsidRDefault="00756A68" w:rsidP="00756A68">
            <w:r>
              <w:t>Fraction of plant growing season corresponding to 2</w:t>
            </w:r>
            <w:r w:rsidRPr="004644D7">
              <w:rPr>
                <w:vertAlign w:val="superscript"/>
              </w:rPr>
              <w:t>nd</w:t>
            </w:r>
            <w:r>
              <w:t xml:space="preserve"> point on optimal leaf area development curve</w:t>
            </w:r>
          </w:p>
        </w:tc>
        <w:tc>
          <w:tcPr>
            <w:tcW w:w="543" w:type="dxa"/>
          </w:tcPr>
          <w:p w14:paraId="60503EDD" w14:textId="36BF9A88" w:rsidR="00756A68" w:rsidRDefault="00756A68" w:rsidP="00756A68">
            <w:r>
              <w:t>2</w:t>
            </w:r>
          </w:p>
        </w:tc>
        <w:tc>
          <w:tcPr>
            <w:tcW w:w="2424" w:type="dxa"/>
          </w:tcPr>
          <w:p w14:paraId="01888253" w14:textId="26D62089" w:rsidR="00756A68" w:rsidRDefault="00756A68" w:rsidP="00756A68">
            <w:r>
              <w:t>Cibin et al., 2014 and Trybula et al., 2014</w:t>
            </w:r>
          </w:p>
        </w:tc>
      </w:tr>
      <w:tr w:rsidR="00756A68" w14:paraId="37DE9FEB" w14:textId="77777777" w:rsidTr="00F7259D">
        <w:tc>
          <w:tcPr>
            <w:tcW w:w="1407" w:type="dxa"/>
          </w:tcPr>
          <w:p w14:paraId="28645DE1" w14:textId="15ED6F26" w:rsidR="00756A68" w:rsidRDefault="00756A68" w:rsidP="00756A68">
            <w:r>
              <w:t>LAIMX2</w:t>
            </w:r>
          </w:p>
        </w:tc>
        <w:tc>
          <w:tcPr>
            <w:tcW w:w="1226" w:type="dxa"/>
          </w:tcPr>
          <w:p w14:paraId="2D724932" w14:textId="4C34CA8A" w:rsidR="00756A68" w:rsidRDefault="00756A68" w:rsidP="00756A68">
            <w:r>
              <w:t>0.85</w:t>
            </w:r>
          </w:p>
        </w:tc>
        <w:tc>
          <w:tcPr>
            <w:tcW w:w="3750" w:type="dxa"/>
          </w:tcPr>
          <w:p w14:paraId="146ECF72" w14:textId="0C27CB72" w:rsidR="00756A68" w:rsidRDefault="00756A68" w:rsidP="00756A68">
            <w:r>
              <w:t>Fraction of maximum leaf area index corresponding to the 2</w:t>
            </w:r>
            <w:r w:rsidRPr="00E27F5C">
              <w:rPr>
                <w:vertAlign w:val="superscript"/>
              </w:rPr>
              <w:t>nd</w:t>
            </w:r>
            <w:r>
              <w:t xml:space="preserve"> point on optimal leaf area development curve</w:t>
            </w:r>
          </w:p>
        </w:tc>
        <w:tc>
          <w:tcPr>
            <w:tcW w:w="543" w:type="dxa"/>
          </w:tcPr>
          <w:p w14:paraId="7A18F871" w14:textId="6DB47EE5" w:rsidR="00756A68" w:rsidRDefault="00756A68" w:rsidP="00756A68">
            <w:r>
              <w:t>2</w:t>
            </w:r>
          </w:p>
        </w:tc>
        <w:tc>
          <w:tcPr>
            <w:tcW w:w="2424" w:type="dxa"/>
          </w:tcPr>
          <w:p w14:paraId="2AFFF173" w14:textId="5E163318" w:rsidR="00756A68" w:rsidRDefault="00756A68" w:rsidP="00756A68">
            <w:r>
              <w:t>Cibin et al., 2014 and Trybula et al., 2014</w:t>
            </w:r>
          </w:p>
        </w:tc>
      </w:tr>
      <w:tr w:rsidR="00756A68" w14:paraId="0F5408CE" w14:textId="77777777" w:rsidTr="00F7259D">
        <w:tc>
          <w:tcPr>
            <w:tcW w:w="1407" w:type="dxa"/>
          </w:tcPr>
          <w:p w14:paraId="0B6EFE36" w14:textId="35D929B7" w:rsidR="00756A68" w:rsidRDefault="00756A68" w:rsidP="00756A68">
            <w:r>
              <w:t>DLAI</w:t>
            </w:r>
          </w:p>
        </w:tc>
        <w:tc>
          <w:tcPr>
            <w:tcW w:w="1226" w:type="dxa"/>
          </w:tcPr>
          <w:p w14:paraId="3C1B1CC8" w14:textId="454E0F10" w:rsidR="00756A68" w:rsidRDefault="00756A68" w:rsidP="00756A68">
            <w:r>
              <w:t>1.10</w:t>
            </w:r>
          </w:p>
        </w:tc>
        <w:tc>
          <w:tcPr>
            <w:tcW w:w="3750" w:type="dxa"/>
          </w:tcPr>
          <w:p w14:paraId="772C0336" w14:textId="2D2B8C49" w:rsidR="00756A68" w:rsidRDefault="00756A68" w:rsidP="00756A68">
            <w:r>
              <w:t>Fraction of growing season when leaf area begins to decline.</w:t>
            </w:r>
          </w:p>
        </w:tc>
        <w:tc>
          <w:tcPr>
            <w:tcW w:w="543" w:type="dxa"/>
          </w:tcPr>
          <w:p w14:paraId="6E8437A9" w14:textId="7AB198B8" w:rsidR="00756A68" w:rsidRDefault="00756A68" w:rsidP="00756A68">
            <w:r>
              <w:t>2</w:t>
            </w:r>
          </w:p>
        </w:tc>
        <w:tc>
          <w:tcPr>
            <w:tcW w:w="2424" w:type="dxa"/>
          </w:tcPr>
          <w:p w14:paraId="615830C6" w14:textId="31B7EDA3" w:rsidR="00756A68" w:rsidRDefault="00756A68" w:rsidP="00756A68">
            <w:r>
              <w:t>Cibin et al., 2014 and Trybula et al., 2014</w:t>
            </w:r>
          </w:p>
        </w:tc>
      </w:tr>
      <w:tr w:rsidR="00756A68" w14:paraId="09329380" w14:textId="77777777" w:rsidTr="00F7259D">
        <w:tc>
          <w:tcPr>
            <w:tcW w:w="1407" w:type="dxa"/>
          </w:tcPr>
          <w:p w14:paraId="25E27764" w14:textId="66EE6784" w:rsidR="00756A68" w:rsidRDefault="00756A68" w:rsidP="00756A68">
            <w:r>
              <w:t>CHTMX</w:t>
            </w:r>
          </w:p>
        </w:tc>
        <w:tc>
          <w:tcPr>
            <w:tcW w:w="1226" w:type="dxa"/>
          </w:tcPr>
          <w:p w14:paraId="7C0B05C6" w14:textId="7C889373" w:rsidR="00756A68" w:rsidRDefault="00756A68" w:rsidP="00756A68">
            <w:r>
              <w:t>3.50</w:t>
            </w:r>
          </w:p>
        </w:tc>
        <w:tc>
          <w:tcPr>
            <w:tcW w:w="3750" w:type="dxa"/>
          </w:tcPr>
          <w:p w14:paraId="4DE983F3" w14:textId="4B1A3BEF" w:rsidR="00756A68" w:rsidRDefault="00756A68" w:rsidP="00756A68">
            <w:r>
              <w:t>Maximum canopy height (m)</w:t>
            </w:r>
          </w:p>
        </w:tc>
        <w:tc>
          <w:tcPr>
            <w:tcW w:w="543" w:type="dxa"/>
          </w:tcPr>
          <w:p w14:paraId="1277E768" w14:textId="0A3CC0A2" w:rsidR="00756A68" w:rsidRDefault="00756A68" w:rsidP="00756A68">
            <w:r>
              <w:t>2</w:t>
            </w:r>
          </w:p>
        </w:tc>
        <w:tc>
          <w:tcPr>
            <w:tcW w:w="2424" w:type="dxa"/>
          </w:tcPr>
          <w:p w14:paraId="1CF54A5D" w14:textId="2799BE58" w:rsidR="00756A68" w:rsidRDefault="00756A68" w:rsidP="00756A68">
            <w:r>
              <w:t>Cibin et al., 2014 and Trybula et al., 2014</w:t>
            </w:r>
          </w:p>
        </w:tc>
      </w:tr>
      <w:tr w:rsidR="00756A68" w14:paraId="08D0D362" w14:textId="77777777" w:rsidTr="00F7259D">
        <w:tc>
          <w:tcPr>
            <w:tcW w:w="1407" w:type="dxa"/>
          </w:tcPr>
          <w:p w14:paraId="74515470" w14:textId="50131F6E" w:rsidR="00756A68" w:rsidRDefault="00756A68" w:rsidP="00756A68">
            <w:r>
              <w:t>RDMX</w:t>
            </w:r>
          </w:p>
        </w:tc>
        <w:tc>
          <w:tcPr>
            <w:tcW w:w="1226" w:type="dxa"/>
          </w:tcPr>
          <w:p w14:paraId="6F213CB4" w14:textId="7A53D112" w:rsidR="00756A68" w:rsidRDefault="00756A68" w:rsidP="00756A68">
            <w:r>
              <w:t>3.00</w:t>
            </w:r>
          </w:p>
        </w:tc>
        <w:tc>
          <w:tcPr>
            <w:tcW w:w="3750" w:type="dxa"/>
          </w:tcPr>
          <w:p w14:paraId="6922B482" w14:textId="258AC902" w:rsidR="00756A68" w:rsidRDefault="00756A68" w:rsidP="00756A68">
            <w:r>
              <w:t>Maximum root depth (m)</w:t>
            </w:r>
          </w:p>
        </w:tc>
        <w:tc>
          <w:tcPr>
            <w:tcW w:w="543" w:type="dxa"/>
          </w:tcPr>
          <w:p w14:paraId="7373C773" w14:textId="57B6CF02" w:rsidR="00756A68" w:rsidRDefault="00756A68" w:rsidP="00756A68">
            <w:r>
              <w:t>2</w:t>
            </w:r>
          </w:p>
        </w:tc>
        <w:tc>
          <w:tcPr>
            <w:tcW w:w="2424" w:type="dxa"/>
          </w:tcPr>
          <w:p w14:paraId="3BB77A05" w14:textId="2A1BDF15" w:rsidR="00756A68" w:rsidRDefault="00756A68" w:rsidP="00756A68">
            <w:r>
              <w:t>Cibin et al., 2014 and Trybula et al., 2014</w:t>
            </w:r>
          </w:p>
        </w:tc>
      </w:tr>
      <w:tr w:rsidR="00756A68" w14:paraId="4FB7599B" w14:textId="77777777" w:rsidTr="00F7259D">
        <w:tc>
          <w:tcPr>
            <w:tcW w:w="1407" w:type="dxa"/>
          </w:tcPr>
          <w:p w14:paraId="4E4A079B" w14:textId="0B1EF035" w:rsidR="00756A68" w:rsidRDefault="00756A68" w:rsidP="00756A68">
            <w:r>
              <w:t>T_OPT</w:t>
            </w:r>
          </w:p>
        </w:tc>
        <w:tc>
          <w:tcPr>
            <w:tcW w:w="1226" w:type="dxa"/>
          </w:tcPr>
          <w:p w14:paraId="09129735" w14:textId="5C23BB75" w:rsidR="00756A68" w:rsidRDefault="00756A68" w:rsidP="00756A68">
            <w:r>
              <w:t>25.00</w:t>
            </w:r>
          </w:p>
        </w:tc>
        <w:tc>
          <w:tcPr>
            <w:tcW w:w="3750" w:type="dxa"/>
          </w:tcPr>
          <w:p w14:paraId="293F9430" w14:textId="52702F1F" w:rsidR="00756A68" w:rsidRDefault="00756A68" w:rsidP="00756A68">
            <w:r>
              <w:t>Optimal temperature for plant growth (C)</w:t>
            </w:r>
          </w:p>
        </w:tc>
        <w:tc>
          <w:tcPr>
            <w:tcW w:w="543" w:type="dxa"/>
          </w:tcPr>
          <w:p w14:paraId="0724B74E" w14:textId="41196D90" w:rsidR="00756A68" w:rsidRDefault="00756A68" w:rsidP="00756A68">
            <w:r>
              <w:t>3</w:t>
            </w:r>
          </w:p>
        </w:tc>
        <w:tc>
          <w:tcPr>
            <w:tcW w:w="2424" w:type="dxa"/>
          </w:tcPr>
          <w:p w14:paraId="2698D1DA" w14:textId="5208E163" w:rsidR="00756A68" w:rsidRDefault="00756A68" w:rsidP="00756A68">
            <w:r>
              <w:t>Cibin et al., 2014 and Trybula et al., 2014</w:t>
            </w:r>
          </w:p>
        </w:tc>
      </w:tr>
      <w:tr w:rsidR="00756A68" w14:paraId="44841C60" w14:textId="77777777" w:rsidTr="00F7259D">
        <w:tc>
          <w:tcPr>
            <w:tcW w:w="1407" w:type="dxa"/>
          </w:tcPr>
          <w:p w14:paraId="2FA7A8A5" w14:textId="13EF8294" w:rsidR="00756A68" w:rsidRDefault="00756A68" w:rsidP="00756A68">
            <w:r>
              <w:t>T_BASE</w:t>
            </w:r>
          </w:p>
        </w:tc>
        <w:tc>
          <w:tcPr>
            <w:tcW w:w="1226" w:type="dxa"/>
          </w:tcPr>
          <w:p w14:paraId="4DFD841A" w14:textId="3DD299A3" w:rsidR="00756A68" w:rsidRDefault="00756A68" w:rsidP="00756A68">
            <w:r>
              <w:t>8.00</w:t>
            </w:r>
          </w:p>
        </w:tc>
        <w:tc>
          <w:tcPr>
            <w:tcW w:w="3750" w:type="dxa"/>
          </w:tcPr>
          <w:p w14:paraId="11C1C233" w14:textId="6FF4626D" w:rsidR="00756A68" w:rsidRDefault="00756A68" w:rsidP="00756A68">
            <w:r>
              <w:t>Minimum temperature for plant growth (C)</w:t>
            </w:r>
          </w:p>
        </w:tc>
        <w:tc>
          <w:tcPr>
            <w:tcW w:w="543" w:type="dxa"/>
          </w:tcPr>
          <w:p w14:paraId="5143CF74" w14:textId="078CFEFD" w:rsidR="00756A68" w:rsidRDefault="00756A68" w:rsidP="00756A68">
            <w:r>
              <w:t>3</w:t>
            </w:r>
          </w:p>
        </w:tc>
        <w:tc>
          <w:tcPr>
            <w:tcW w:w="2424" w:type="dxa"/>
          </w:tcPr>
          <w:p w14:paraId="317A866F" w14:textId="6A3DBEFC" w:rsidR="00756A68" w:rsidRDefault="00756A68" w:rsidP="00756A68">
            <w:r>
              <w:t>Cibin et al., 2014 and Trybula et al., 2014</w:t>
            </w:r>
          </w:p>
        </w:tc>
      </w:tr>
      <w:tr w:rsidR="00F7259D" w14:paraId="27E529EE" w14:textId="77777777" w:rsidTr="00F7259D">
        <w:tc>
          <w:tcPr>
            <w:tcW w:w="1407" w:type="dxa"/>
          </w:tcPr>
          <w:p w14:paraId="1B4176BA" w14:textId="51BF4218" w:rsidR="00F7259D" w:rsidRDefault="001005BE" w:rsidP="00F7259D">
            <w:r>
              <w:t>C</w:t>
            </w:r>
            <w:r w:rsidR="00482A6D">
              <w:t>NY</w:t>
            </w:r>
            <w:r>
              <w:t>LD</w:t>
            </w:r>
          </w:p>
        </w:tc>
        <w:tc>
          <w:tcPr>
            <w:tcW w:w="1226" w:type="dxa"/>
          </w:tcPr>
          <w:p w14:paraId="39748DF8" w14:textId="0D3AF190" w:rsidR="00F7259D" w:rsidRDefault="00B81246" w:rsidP="00F7259D">
            <w:r>
              <w:t>0.0035</w:t>
            </w:r>
          </w:p>
        </w:tc>
        <w:tc>
          <w:tcPr>
            <w:tcW w:w="3750" w:type="dxa"/>
          </w:tcPr>
          <w:p w14:paraId="4777391C" w14:textId="7CB5651F" w:rsidR="00F7259D" w:rsidRDefault="001005BE" w:rsidP="00F7259D">
            <w:r>
              <w:t xml:space="preserve">Normal fraction </w:t>
            </w:r>
            <w:r w:rsidR="00B81246">
              <w:t>of nitrogen in yield (kg N/kg)</w:t>
            </w:r>
          </w:p>
        </w:tc>
        <w:tc>
          <w:tcPr>
            <w:tcW w:w="543" w:type="dxa"/>
          </w:tcPr>
          <w:p w14:paraId="43D6D517" w14:textId="3AF0088D" w:rsidR="00F7259D" w:rsidRDefault="00281112" w:rsidP="00F7259D">
            <w:r>
              <w:t>3</w:t>
            </w:r>
          </w:p>
        </w:tc>
        <w:tc>
          <w:tcPr>
            <w:tcW w:w="2424" w:type="dxa"/>
          </w:tcPr>
          <w:p w14:paraId="23B9BF1B" w14:textId="1100A92A" w:rsidR="00F7259D" w:rsidRDefault="009D4C8A" w:rsidP="00F7259D">
            <w:r>
              <w:t>Cibin et al., 2014 and Trybula et al., 2014</w:t>
            </w:r>
          </w:p>
        </w:tc>
      </w:tr>
      <w:tr w:rsidR="00F7259D" w14:paraId="43404121" w14:textId="77777777" w:rsidTr="00F7259D">
        <w:tc>
          <w:tcPr>
            <w:tcW w:w="1407" w:type="dxa"/>
          </w:tcPr>
          <w:p w14:paraId="1D864F01" w14:textId="2A153AFC" w:rsidR="00F7259D" w:rsidRDefault="001005BE" w:rsidP="00F7259D">
            <w:r>
              <w:t>CPYLD</w:t>
            </w:r>
          </w:p>
        </w:tc>
        <w:tc>
          <w:tcPr>
            <w:tcW w:w="1226" w:type="dxa"/>
          </w:tcPr>
          <w:p w14:paraId="44918E0A" w14:textId="3EFB6C82" w:rsidR="00F7259D" w:rsidRDefault="00B81246" w:rsidP="00F7259D">
            <w:r>
              <w:t>0.0003</w:t>
            </w:r>
          </w:p>
        </w:tc>
        <w:tc>
          <w:tcPr>
            <w:tcW w:w="3750" w:type="dxa"/>
          </w:tcPr>
          <w:p w14:paraId="1F02E3B6" w14:textId="37AE75F5" w:rsidR="00F7259D" w:rsidRDefault="00B81246" w:rsidP="00F7259D">
            <w:r>
              <w:t>Normal fraction of phosphorus in yield (kg</w:t>
            </w:r>
            <w:r w:rsidR="00281112">
              <w:t xml:space="preserve"> </w:t>
            </w:r>
            <w:r>
              <w:t>P/kg)</w:t>
            </w:r>
          </w:p>
        </w:tc>
        <w:tc>
          <w:tcPr>
            <w:tcW w:w="543" w:type="dxa"/>
          </w:tcPr>
          <w:p w14:paraId="4CE67AEF" w14:textId="2584ED2E" w:rsidR="00F7259D" w:rsidRDefault="00281112" w:rsidP="00F7259D">
            <w:r>
              <w:t>3</w:t>
            </w:r>
          </w:p>
        </w:tc>
        <w:tc>
          <w:tcPr>
            <w:tcW w:w="2424" w:type="dxa"/>
          </w:tcPr>
          <w:p w14:paraId="4106F70B" w14:textId="61665BA4" w:rsidR="00F7259D" w:rsidRDefault="009D4C8A" w:rsidP="00F7259D">
            <w:r>
              <w:t>Cibin et al., 2014 and Trybula et al., 2014</w:t>
            </w:r>
          </w:p>
        </w:tc>
      </w:tr>
      <w:tr w:rsidR="00756A68" w14:paraId="68E693FD" w14:textId="77777777" w:rsidTr="00F7259D">
        <w:tc>
          <w:tcPr>
            <w:tcW w:w="1407" w:type="dxa"/>
          </w:tcPr>
          <w:p w14:paraId="130F6A8E" w14:textId="6D6E6789" w:rsidR="00756A68" w:rsidRDefault="00756A68" w:rsidP="00756A68">
            <w:r>
              <w:t>PLTNFR(1)</w:t>
            </w:r>
          </w:p>
        </w:tc>
        <w:tc>
          <w:tcPr>
            <w:tcW w:w="1226" w:type="dxa"/>
          </w:tcPr>
          <w:p w14:paraId="51777BB6" w14:textId="5E2411C1" w:rsidR="00756A68" w:rsidRDefault="00756A68" w:rsidP="00756A68">
            <w:r>
              <w:t>0.01</w:t>
            </w:r>
          </w:p>
        </w:tc>
        <w:tc>
          <w:tcPr>
            <w:tcW w:w="3750" w:type="dxa"/>
          </w:tcPr>
          <w:p w14:paraId="6FD1E2CF" w14:textId="3F79B9CE" w:rsidR="00756A68" w:rsidRDefault="00756A68" w:rsidP="00756A68">
            <w:r>
              <w:t>Nitrogen uptake parameter #1: normal fraction of nitrogen in plant biomass at emergence (kg N/kg biomass)</w:t>
            </w:r>
          </w:p>
        </w:tc>
        <w:tc>
          <w:tcPr>
            <w:tcW w:w="543" w:type="dxa"/>
          </w:tcPr>
          <w:p w14:paraId="61F71C67" w14:textId="3BD9DE9D" w:rsidR="00756A68" w:rsidRDefault="00756A68" w:rsidP="00756A68">
            <w:r>
              <w:t>3</w:t>
            </w:r>
          </w:p>
        </w:tc>
        <w:tc>
          <w:tcPr>
            <w:tcW w:w="2424" w:type="dxa"/>
          </w:tcPr>
          <w:p w14:paraId="60098956" w14:textId="01073E22" w:rsidR="00756A68" w:rsidRDefault="00756A68" w:rsidP="00756A68">
            <w:r>
              <w:t>Cibin et al., 2014 and Trybula et al., 2014</w:t>
            </w:r>
          </w:p>
        </w:tc>
      </w:tr>
      <w:tr w:rsidR="00756A68" w14:paraId="6D4F3149" w14:textId="77777777" w:rsidTr="00F7259D">
        <w:tc>
          <w:tcPr>
            <w:tcW w:w="1407" w:type="dxa"/>
          </w:tcPr>
          <w:p w14:paraId="70C83264" w14:textId="7A161B95" w:rsidR="00756A68" w:rsidRDefault="00756A68" w:rsidP="00756A68">
            <w:r>
              <w:t>PLTNFR(2)</w:t>
            </w:r>
          </w:p>
        </w:tc>
        <w:tc>
          <w:tcPr>
            <w:tcW w:w="1226" w:type="dxa"/>
          </w:tcPr>
          <w:p w14:paraId="4B420C3B" w14:textId="22418E98" w:rsidR="00756A68" w:rsidRDefault="00756A68" w:rsidP="00756A68">
            <w:r>
              <w:t>0.0065</w:t>
            </w:r>
          </w:p>
        </w:tc>
        <w:tc>
          <w:tcPr>
            <w:tcW w:w="3750" w:type="dxa"/>
          </w:tcPr>
          <w:p w14:paraId="3FDC0E79" w14:textId="2CC9A3A4" w:rsidR="00756A68" w:rsidRDefault="00756A68" w:rsidP="00756A68">
            <w:r>
              <w:t>Nitrogen uptake parameter #2: normal fraction of nitrogen in plant biomass at 50% maturity (kg N/kg biomass)</w:t>
            </w:r>
          </w:p>
        </w:tc>
        <w:tc>
          <w:tcPr>
            <w:tcW w:w="543" w:type="dxa"/>
          </w:tcPr>
          <w:p w14:paraId="78240607" w14:textId="2C3AD444" w:rsidR="00756A68" w:rsidRDefault="00756A68" w:rsidP="00756A68">
            <w:r>
              <w:t>3</w:t>
            </w:r>
          </w:p>
        </w:tc>
        <w:tc>
          <w:tcPr>
            <w:tcW w:w="2424" w:type="dxa"/>
          </w:tcPr>
          <w:p w14:paraId="19084517" w14:textId="0DE75BB9" w:rsidR="00756A68" w:rsidRDefault="00756A68" w:rsidP="00756A68">
            <w:r>
              <w:t>Cibin et al., 2014 and Trybula et al., 2014</w:t>
            </w:r>
          </w:p>
        </w:tc>
      </w:tr>
      <w:tr w:rsidR="00756A68" w14:paraId="59C5E79E" w14:textId="77777777" w:rsidTr="00F7259D">
        <w:tc>
          <w:tcPr>
            <w:tcW w:w="1407" w:type="dxa"/>
          </w:tcPr>
          <w:p w14:paraId="1222A4A0" w14:textId="664896E3" w:rsidR="00756A68" w:rsidRDefault="00756A68" w:rsidP="00756A68">
            <w:r>
              <w:lastRenderedPageBreak/>
              <w:t>PLTNFR(3)</w:t>
            </w:r>
          </w:p>
        </w:tc>
        <w:tc>
          <w:tcPr>
            <w:tcW w:w="1226" w:type="dxa"/>
          </w:tcPr>
          <w:p w14:paraId="56123F34" w14:textId="5C365A80" w:rsidR="00756A68" w:rsidRDefault="00756A68" w:rsidP="00756A68">
            <w:r>
              <w:t>0.0057</w:t>
            </w:r>
          </w:p>
        </w:tc>
        <w:tc>
          <w:tcPr>
            <w:tcW w:w="3750" w:type="dxa"/>
          </w:tcPr>
          <w:p w14:paraId="150F86C2" w14:textId="5E3F3FC9" w:rsidR="00756A68" w:rsidRDefault="00756A68" w:rsidP="00756A68">
            <w:r>
              <w:t>Nitrogen uptake parameter #3: normal fraction of nitrogen in plant biomass at maturity (kg N/kg biomass)</w:t>
            </w:r>
          </w:p>
        </w:tc>
        <w:tc>
          <w:tcPr>
            <w:tcW w:w="543" w:type="dxa"/>
          </w:tcPr>
          <w:p w14:paraId="0FB1844A" w14:textId="67EE0087" w:rsidR="00756A68" w:rsidRDefault="00756A68" w:rsidP="00756A68">
            <w:r>
              <w:t>3</w:t>
            </w:r>
          </w:p>
        </w:tc>
        <w:tc>
          <w:tcPr>
            <w:tcW w:w="2424" w:type="dxa"/>
          </w:tcPr>
          <w:p w14:paraId="282CCD1F" w14:textId="7FB6729D" w:rsidR="00756A68" w:rsidRDefault="00756A68" w:rsidP="00756A68">
            <w:r>
              <w:t>Cibin et al., 2014 and Trybula et al., 2014</w:t>
            </w:r>
          </w:p>
        </w:tc>
      </w:tr>
      <w:tr w:rsidR="00756A68" w14:paraId="216A40CE" w14:textId="77777777" w:rsidTr="00F7259D">
        <w:tc>
          <w:tcPr>
            <w:tcW w:w="1407" w:type="dxa"/>
          </w:tcPr>
          <w:p w14:paraId="18536B92" w14:textId="521B2EB3" w:rsidR="00756A68" w:rsidRDefault="00756A68" w:rsidP="00756A68">
            <w:r>
              <w:t>PLTPFR(1)</w:t>
            </w:r>
          </w:p>
        </w:tc>
        <w:tc>
          <w:tcPr>
            <w:tcW w:w="1226" w:type="dxa"/>
          </w:tcPr>
          <w:p w14:paraId="53528B57" w14:textId="107DDB9F" w:rsidR="00756A68" w:rsidRDefault="00756A68" w:rsidP="00756A68">
            <w:r>
              <w:t>0.0016</w:t>
            </w:r>
          </w:p>
        </w:tc>
        <w:tc>
          <w:tcPr>
            <w:tcW w:w="3750" w:type="dxa"/>
          </w:tcPr>
          <w:p w14:paraId="20B87780" w14:textId="6A93F17C" w:rsidR="00756A68" w:rsidRDefault="00756A68" w:rsidP="00756A68">
            <w:r>
              <w:t>Phosphorus uptake parameter #1: normal fraction of nitrogen in plant biomass at emergence (kg P/kg biomass)</w:t>
            </w:r>
          </w:p>
        </w:tc>
        <w:tc>
          <w:tcPr>
            <w:tcW w:w="543" w:type="dxa"/>
          </w:tcPr>
          <w:p w14:paraId="5FCD3CBE" w14:textId="3097345A" w:rsidR="00756A68" w:rsidRDefault="00756A68" w:rsidP="00756A68">
            <w:r>
              <w:t>3</w:t>
            </w:r>
          </w:p>
        </w:tc>
        <w:tc>
          <w:tcPr>
            <w:tcW w:w="2424" w:type="dxa"/>
          </w:tcPr>
          <w:p w14:paraId="5FA03DA8" w14:textId="1557F566" w:rsidR="00756A68" w:rsidRDefault="00756A68" w:rsidP="00756A68">
            <w:r>
              <w:t>Cibin et al., 2014 and Trybula et al., 2014</w:t>
            </w:r>
          </w:p>
        </w:tc>
      </w:tr>
      <w:tr w:rsidR="00756A68" w14:paraId="714387ED" w14:textId="77777777" w:rsidTr="00F7259D">
        <w:tc>
          <w:tcPr>
            <w:tcW w:w="1407" w:type="dxa"/>
          </w:tcPr>
          <w:p w14:paraId="0444F276" w14:textId="07255BE1" w:rsidR="00756A68" w:rsidRDefault="00756A68" w:rsidP="00756A68">
            <w:r>
              <w:t>PLTPFR(2)</w:t>
            </w:r>
          </w:p>
        </w:tc>
        <w:tc>
          <w:tcPr>
            <w:tcW w:w="1226" w:type="dxa"/>
          </w:tcPr>
          <w:p w14:paraId="64164140" w14:textId="1981DAED" w:rsidR="00756A68" w:rsidRDefault="00756A68" w:rsidP="00756A68">
            <w:r>
              <w:t>0.0012</w:t>
            </w:r>
          </w:p>
        </w:tc>
        <w:tc>
          <w:tcPr>
            <w:tcW w:w="3750" w:type="dxa"/>
          </w:tcPr>
          <w:p w14:paraId="44D230C8" w14:textId="49D14972" w:rsidR="00756A68" w:rsidRDefault="00756A68" w:rsidP="00756A68">
            <w:r>
              <w:t>Phosphorus uptake parameter #2: normal fraction of nitrogen in plant biomass at 50% maturity (kg P/kg biomass)</w:t>
            </w:r>
          </w:p>
        </w:tc>
        <w:tc>
          <w:tcPr>
            <w:tcW w:w="543" w:type="dxa"/>
          </w:tcPr>
          <w:p w14:paraId="4EA63E26" w14:textId="35200115" w:rsidR="00756A68" w:rsidRDefault="00756A68" w:rsidP="00756A68">
            <w:r>
              <w:t>3</w:t>
            </w:r>
          </w:p>
        </w:tc>
        <w:tc>
          <w:tcPr>
            <w:tcW w:w="2424" w:type="dxa"/>
          </w:tcPr>
          <w:p w14:paraId="5AAB1B4F" w14:textId="6A6E0BC4" w:rsidR="00756A68" w:rsidRDefault="00756A68" w:rsidP="00756A68">
            <w:r>
              <w:t>Cibin et al., 2014 and Trybula et al., 2014</w:t>
            </w:r>
          </w:p>
        </w:tc>
      </w:tr>
      <w:tr w:rsidR="00756A68" w14:paraId="06C9A170" w14:textId="77777777" w:rsidTr="00F7259D">
        <w:tc>
          <w:tcPr>
            <w:tcW w:w="1407" w:type="dxa"/>
          </w:tcPr>
          <w:p w14:paraId="1CFFE523" w14:textId="75F82EE6" w:rsidR="00756A68" w:rsidRDefault="00756A68" w:rsidP="00756A68">
            <w:r>
              <w:t>PLTPFR(3)</w:t>
            </w:r>
          </w:p>
        </w:tc>
        <w:tc>
          <w:tcPr>
            <w:tcW w:w="1226" w:type="dxa"/>
          </w:tcPr>
          <w:p w14:paraId="20063806" w14:textId="2315AC6A" w:rsidR="00756A68" w:rsidRDefault="00756A68" w:rsidP="00756A68">
            <w:r>
              <w:t>0.0009</w:t>
            </w:r>
          </w:p>
        </w:tc>
        <w:tc>
          <w:tcPr>
            <w:tcW w:w="3750" w:type="dxa"/>
          </w:tcPr>
          <w:p w14:paraId="299FFC86" w14:textId="36EAF75A" w:rsidR="00756A68" w:rsidRDefault="00756A68" w:rsidP="00756A68">
            <w:r>
              <w:t>Phosphorus uptake parameter #3: normal fraction of nitrogen in plant biomass at maturity (kg P/kg biomass)</w:t>
            </w:r>
          </w:p>
        </w:tc>
        <w:tc>
          <w:tcPr>
            <w:tcW w:w="543" w:type="dxa"/>
          </w:tcPr>
          <w:p w14:paraId="79A758F3" w14:textId="27D63FEC" w:rsidR="00756A68" w:rsidRDefault="00756A68" w:rsidP="00756A68">
            <w:r>
              <w:t>3</w:t>
            </w:r>
          </w:p>
        </w:tc>
        <w:tc>
          <w:tcPr>
            <w:tcW w:w="2424" w:type="dxa"/>
          </w:tcPr>
          <w:p w14:paraId="240C4BEE" w14:textId="1AC64382" w:rsidR="00756A68" w:rsidRDefault="00756A68" w:rsidP="00756A68">
            <w:r>
              <w:t>Cibin et al., 2014 and Trybula et al., 2014</w:t>
            </w:r>
          </w:p>
        </w:tc>
      </w:tr>
      <w:tr w:rsidR="00EF5145" w14:paraId="3D6FF845" w14:textId="77777777" w:rsidTr="00F7259D">
        <w:tc>
          <w:tcPr>
            <w:tcW w:w="1407" w:type="dxa"/>
          </w:tcPr>
          <w:p w14:paraId="7B62D01B" w14:textId="15B96A25" w:rsidR="00EF5145" w:rsidRDefault="00293C15" w:rsidP="00EF5145">
            <w:r>
              <w:t>WSYF</w:t>
            </w:r>
          </w:p>
        </w:tc>
        <w:tc>
          <w:tcPr>
            <w:tcW w:w="1226" w:type="dxa"/>
          </w:tcPr>
          <w:p w14:paraId="18D68B28" w14:textId="54DBE5A6" w:rsidR="00EF5145" w:rsidRDefault="00293C15" w:rsidP="00EF5145">
            <w:r>
              <w:t>1.000</w:t>
            </w:r>
          </w:p>
        </w:tc>
        <w:tc>
          <w:tcPr>
            <w:tcW w:w="3750" w:type="dxa"/>
          </w:tcPr>
          <w:p w14:paraId="79A52E02" w14:textId="5AE564BF" w:rsidR="00EF5145" w:rsidRDefault="00293C15" w:rsidP="00EF5145">
            <w:r>
              <w:t>Lower limit of harvest index ((kg/ha)/(kg/ha))</w:t>
            </w:r>
          </w:p>
        </w:tc>
        <w:tc>
          <w:tcPr>
            <w:tcW w:w="543" w:type="dxa"/>
          </w:tcPr>
          <w:p w14:paraId="50E2F092" w14:textId="615F0A89" w:rsidR="00EF5145" w:rsidRDefault="00EF5145" w:rsidP="00EF5145">
            <w:r>
              <w:t>4</w:t>
            </w:r>
          </w:p>
        </w:tc>
        <w:tc>
          <w:tcPr>
            <w:tcW w:w="2424" w:type="dxa"/>
          </w:tcPr>
          <w:p w14:paraId="2D33F5F8" w14:textId="1EE0C12F" w:rsidR="00EF5145" w:rsidRDefault="00B701DE" w:rsidP="00EF5145">
            <w:r>
              <w:t>Cibin et al., 2014; Trybula et al., 2014; Ng et al., 2011</w:t>
            </w:r>
          </w:p>
        </w:tc>
      </w:tr>
      <w:tr w:rsidR="00EF5145" w14:paraId="733DD98E" w14:textId="77777777" w:rsidTr="00F7259D">
        <w:tc>
          <w:tcPr>
            <w:tcW w:w="1407" w:type="dxa"/>
          </w:tcPr>
          <w:p w14:paraId="0B944C5B" w14:textId="79008D37" w:rsidR="00EF5145" w:rsidRDefault="002C4D00" w:rsidP="00EF5145">
            <w:r>
              <w:t>USLE_C</w:t>
            </w:r>
          </w:p>
        </w:tc>
        <w:tc>
          <w:tcPr>
            <w:tcW w:w="1226" w:type="dxa"/>
          </w:tcPr>
          <w:p w14:paraId="5341F801" w14:textId="3234EC20" w:rsidR="00EF5145" w:rsidRDefault="00293C15" w:rsidP="00EF5145">
            <w:r>
              <w:t>0.0030</w:t>
            </w:r>
          </w:p>
        </w:tc>
        <w:tc>
          <w:tcPr>
            <w:tcW w:w="3750" w:type="dxa"/>
          </w:tcPr>
          <w:p w14:paraId="24D41A01" w14:textId="08044ED9" w:rsidR="00EF5145" w:rsidRDefault="002C4D00" w:rsidP="00EF5145">
            <w:r>
              <w:t>Minimum value of USLE C factor for water erosion applicable to the land cover/plant.</w:t>
            </w:r>
          </w:p>
        </w:tc>
        <w:tc>
          <w:tcPr>
            <w:tcW w:w="543" w:type="dxa"/>
          </w:tcPr>
          <w:p w14:paraId="77F65175" w14:textId="52FC2695" w:rsidR="00EF5145" w:rsidRDefault="008C799E" w:rsidP="00EF5145">
            <w:r>
              <w:t>4</w:t>
            </w:r>
          </w:p>
        </w:tc>
        <w:tc>
          <w:tcPr>
            <w:tcW w:w="2424" w:type="dxa"/>
          </w:tcPr>
          <w:p w14:paraId="3F9FDF14" w14:textId="29A08C6B" w:rsidR="00EF5145" w:rsidRDefault="001E75C4" w:rsidP="00EF5145">
            <w:r>
              <w:t>Cibin et al., 2014; Trybula et al., 2014; Ng et al., 2011</w:t>
            </w:r>
          </w:p>
        </w:tc>
      </w:tr>
      <w:tr w:rsidR="00EF5145" w14:paraId="73B8214D" w14:textId="77777777" w:rsidTr="00F7259D">
        <w:tc>
          <w:tcPr>
            <w:tcW w:w="1407" w:type="dxa"/>
          </w:tcPr>
          <w:p w14:paraId="212660B4" w14:textId="6BFDB901" w:rsidR="00EF5145" w:rsidRDefault="002C4D00" w:rsidP="00EF5145">
            <w:r>
              <w:t>GSI</w:t>
            </w:r>
          </w:p>
        </w:tc>
        <w:tc>
          <w:tcPr>
            <w:tcW w:w="1226" w:type="dxa"/>
          </w:tcPr>
          <w:p w14:paraId="5858A78A" w14:textId="39D2AB53" w:rsidR="00EF5145" w:rsidRDefault="00293C15" w:rsidP="00EF5145">
            <w:r>
              <w:t>0.0050</w:t>
            </w:r>
          </w:p>
        </w:tc>
        <w:tc>
          <w:tcPr>
            <w:tcW w:w="3750" w:type="dxa"/>
          </w:tcPr>
          <w:p w14:paraId="5C204447" w14:textId="404C48C5" w:rsidR="00EF5145" w:rsidRDefault="002C4D00" w:rsidP="00EF5145">
            <w:r>
              <w:t>Maximum stomatal conductance at high solar radiation and low vapor pressure deficit (m</w:t>
            </w:r>
            <w:r w:rsidR="009E3F76">
              <w:t>*s^-1)</w:t>
            </w:r>
          </w:p>
        </w:tc>
        <w:tc>
          <w:tcPr>
            <w:tcW w:w="543" w:type="dxa"/>
          </w:tcPr>
          <w:p w14:paraId="5CE84E41" w14:textId="2E60F23B" w:rsidR="00EF5145" w:rsidRDefault="008C799E" w:rsidP="00EF5145">
            <w:r>
              <w:t>4</w:t>
            </w:r>
          </w:p>
        </w:tc>
        <w:tc>
          <w:tcPr>
            <w:tcW w:w="2424" w:type="dxa"/>
          </w:tcPr>
          <w:p w14:paraId="570EF41F" w14:textId="2ED682F0" w:rsidR="00EF5145" w:rsidRDefault="009D4C8A" w:rsidP="00EF5145">
            <w:r>
              <w:t>Cibin et al., 2014 and Trybula et al., 2014</w:t>
            </w:r>
          </w:p>
        </w:tc>
      </w:tr>
      <w:tr w:rsidR="00EF5145" w14:paraId="7EB7FAE8" w14:textId="77777777" w:rsidTr="00F7259D">
        <w:tc>
          <w:tcPr>
            <w:tcW w:w="1407" w:type="dxa"/>
          </w:tcPr>
          <w:p w14:paraId="79E27138" w14:textId="0F629168" w:rsidR="00EF5145" w:rsidRDefault="00EE7B52" w:rsidP="00EF5145">
            <w:r>
              <w:t>VPDFR</w:t>
            </w:r>
          </w:p>
        </w:tc>
        <w:tc>
          <w:tcPr>
            <w:tcW w:w="1226" w:type="dxa"/>
          </w:tcPr>
          <w:p w14:paraId="7F1E610F" w14:textId="64E37142" w:rsidR="00EF5145" w:rsidRDefault="00293C15" w:rsidP="00EF5145">
            <w:r>
              <w:t>4.00</w:t>
            </w:r>
          </w:p>
        </w:tc>
        <w:tc>
          <w:tcPr>
            <w:tcW w:w="3750" w:type="dxa"/>
          </w:tcPr>
          <w:p w14:paraId="4B7E760F" w14:textId="16C233CC" w:rsidR="00EF5145" w:rsidRDefault="00EE7B52" w:rsidP="00EF5145">
            <w:r>
              <w:t>Vapor pressure deficit (kPa) corresponding to the second point on the stomatal conductance curve</w:t>
            </w:r>
          </w:p>
        </w:tc>
        <w:tc>
          <w:tcPr>
            <w:tcW w:w="543" w:type="dxa"/>
          </w:tcPr>
          <w:p w14:paraId="4D83EFCB" w14:textId="58397B94" w:rsidR="00EF5145" w:rsidRDefault="008C799E" w:rsidP="00EF5145">
            <w:r>
              <w:t>4</w:t>
            </w:r>
          </w:p>
        </w:tc>
        <w:tc>
          <w:tcPr>
            <w:tcW w:w="2424" w:type="dxa"/>
          </w:tcPr>
          <w:p w14:paraId="5993307C" w14:textId="7669FB4A" w:rsidR="00EF5145" w:rsidRDefault="009D4C8A" w:rsidP="00EF5145">
            <w:r>
              <w:t>Cibin et al., 2014 and Trybula et al., 2014</w:t>
            </w:r>
          </w:p>
        </w:tc>
      </w:tr>
      <w:tr w:rsidR="00EF5145" w14:paraId="746C4661" w14:textId="77777777" w:rsidTr="00F7259D">
        <w:tc>
          <w:tcPr>
            <w:tcW w:w="1407" w:type="dxa"/>
          </w:tcPr>
          <w:p w14:paraId="73218BC4" w14:textId="21EBC8EE" w:rsidR="00EF5145" w:rsidRDefault="00EE7B52" w:rsidP="00EF5145">
            <w:r>
              <w:t>FRGMAX</w:t>
            </w:r>
          </w:p>
        </w:tc>
        <w:tc>
          <w:tcPr>
            <w:tcW w:w="1226" w:type="dxa"/>
          </w:tcPr>
          <w:p w14:paraId="68FBD736" w14:textId="4803CB72" w:rsidR="00EF5145" w:rsidRDefault="00293C15" w:rsidP="00EF5145">
            <w:r>
              <w:t>0.750</w:t>
            </w:r>
          </w:p>
        </w:tc>
        <w:tc>
          <w:tcPr>
            <w:tcW w:w="3750" w:type="dxa"/>
          </w:tcPr>
          <w:p w14:paraId="207C19F2" w14:textId="7106B7C7" w:rsidR="00EF5145" w:rsidRDefault="00EE7B52" w:rsidP="00EF5145">
            <w:r>
              <w:t>Fraction of maximum stomatal conductance corresponding to the second point on the stomatal conductance curve</w:t>
            </w:r>
          </w:p>
        </w:tc>
        <w:tc>
          <w:tcPr>
            <w:tcW w:w="543" w:type="dxa"/>
          </w:tcPr>
          <w:p w14:paraId="53FC1EE5" w14:textId="3046B4CF" w:rsidR="00EF5145" w:rsidRDefault="008C799E" w:rsidP="00EF5145">
            <w:r>
              <w:t>4</w:t>
            </w:r>
          </w:p>
        </w:tc>
        <w:tc>
          <w:tcPr>
            <w:tcW w:w="2424" w:type="dxa"/>
          </w:tcPr>
          <w:p w14:paraId="0A3A2A0F" w14:textId="60945905" w:rsidR="00EF5145" w:rsidRDefault="0045269C" w:rsidP="00EF5145">
            <w:r>
              <w:t>?</w:t>
            </w:r>
          </w:p>
        </w:tc>
      </w:tr>
      <w:tr w:rsidR="00EF5145" w14:paraId="6055CF06" w14:textId="77777777" w:rsidTr="00F7259D">
        <w:tc>
          <w:tcPr>
            <w:tcW w:w="1407" w:type="dxa"/>
          </w:tcPr>
          <w:p w14:paraId="78D4FBA2" w14:textId="4F3AEABF" w:rsidR="00EF5145" w:rsidRDefault="00A70B09" w:rsidP="00EF5145">
            <w:r>
              <w:t>WAVP</w:t>
            </w:r>
          </w:p>
        </w:tc>
        <w:tc>
          <w:tcPr>
            <w:tcW w:w="1226" w:type="dxa"/>
          </w:tcPr>
          <w:p w14:paraId="1DC6748F" w14:textId="0B7E88D4" w:rsidR="00EF5145" w:rsidRDefault="00293C15" w:rsidP="00EF5145">
            <w:r>
              <w:t>8.50</w:t>
            </w:r>
          </w:p>
        </w:tc>
        <w:tc>
          <w:tcPr>
            <w:tcW w:w="3750" w:type="dxa"/>
          </w:tcPr>
          <w:p w14:paraId="61724B6B" w14:textId="757EFBAF" w:rsidR="00EF5145" w:rsidRDefault="00A70B09" w:rsidP="00EF5145">
            <w:r>
              <w:t>Rate of decline in radiation use efficiency per unit increase in vapor pressure deficit</w:t>
            </w:r>
          </w:p>
        </w:tc>
        <w:tc>
          <w:tcPr>
            <w:tcW w:w="543" w:type="dxa"/>
          </w:tcPr>
          <w:p w14:paraId="78C42DEC" w14:textId="23932D16" w:rsidR="00EF5145" w:rsidRDefault="008C799E" w:rsidP="00EF5145">
            <w:r>
              <w:t>4</w:t>
            </w:r>
          </w:p>
        </w:tc>
        <w:tc>
          <w:tcPr>
            <w:tcW w:w="2424" w:type="dxa"/>
          </w:tcPr>
          <w:p w14:paraId="19229FB6" w14:textId="3CF4D2F8" w:rsidR="00EF5145" w:rsidRDefault="001E75C4" w:rsidP="00EF5145">
            <w:r>
              <w:t>Cibin et al., 2014 and Trybula et al., 2014</w:t>
            </w:r>
          </w:p>
        </w:tc>
      </w:tr>
      <w:tr w:rsidR="00293C15" w14:paraId="12AFDAE6" w14:textId="77777777" w:rsidTr="00F7259D">
        <w:tc>
          <w:tcPr>
            <w:tcW w:w="1407" w:type="dxa"/>
          </w:tcPr>
          <w:p w14:paraId="172AEC1B" w14:textId="3565134A" w:rsidR="00293C15" w:rsidRDefault="00A70B09" w:rsidP="00EF5145">
            <w:r>
              <w:t>CO2HI</w:t>
            </w:r>
          </w:p>
        </w:tc>
        <w:tc>
          <w:tcPr>
            <w:tcW w:w="1226" w:type="dxa"/>
          </w:tcPr>
          <w:p w14:paraId="64B084F3" w14:textId="0B00A2B4" w:rsidR="00293C15" w:rsidRDefault="00293C15" w:rsidP="00EF5145">
            <w:r>
              <w:t>660.00</w:t>
            </w:r>
          </w:p>
        </w:tc>
        <w:tc>
          <w:tcPr>
            <w:tcW w:w="3750" w:type="dxa"/>
          </w:tcPr>
          <w:p w14:paraId="62E94082" w14:textId="5681A6B1" w:rsidR="00293C15" w:rsidRDefault="00A70B09" w:rsidP="00EF5145">
            <w:r>
              <w:t>Elevated CO2 atmospheric concentration (</w:t>
            </w:r>
            <w:r w:rsidR="00BA1021">
              <w:t>microL CO2/L air)</w:t>
            </w:r>
          </w:p>
        </w:tc>
        <w:tc>
          <w:tcPr>
            <w:tcW w:w="543" w:type="dxa"/>
          </w:tcPr>
          <w:p w14:paraId="295C9A16" w14:textId="60356E32" w:rsidR="00293C15" w:rsidRDefault="008C799E" w:rsidP="00EF5145">
            <w:r>
              <w:t>4</w:t>
            </w:r>
          </w:p>
        </w:tc>
        <w:tc>
          <w:tcPr>
            <w:tcW w:w="2424" w:type="dxa"/>
          </w:tcPr>
          <w:p w14:paraId="6090162E" w14:textId="55E470AC" w:rsidR="00293C15" w:rsidRPr="00991153" w:rsidRDefault="0045269C" w:rsidP="00EF5145">
            <w:pPr>
              <w:rPr>
                <w:i/>
                <w:iCs/>
              </w:rPr>
            </w:pPr>
            <w:r>
              <w:t>?</w:t>
            </w:r>
            <w:r w:rsidR="00991153">
              <w:t xml:space="preserve"> </w:t>
            </w:r>
            <w:r w:rsidR="00991153">
              <w:rPr>
                <w:i/>
                <w:iCs/>
              </w:rPr>
              <w:t>not required</w:t>
            </w:r>
          </w:p>
        </w:tc>
      </w:tr>
      <w:tr w:rsidR="00293C15" w14:paraId="57DCA0FA" w14:textId="77777777" w:rsidTr="00F7259D">
        <w:tc>
          <w:tcPr>
            <w:tcW w:w="1407" w:type="dxa"/>
          </w:tcPr>
          <w:p w14:paraId="7F6D6A84" w14:textId="4186DC40" w:rsidR="00293C15" w:rsidRDefault="00BA1021" w:rsidP="00EF5145">
            <w:r>
              <w:t>BIOEHI</w:t>
            </w:r>
          </w:p>
        </w:tc>
        <w:tc>
          <w:tcPr>
            <w:tcW w:w="1226" w:type="dxa"/>
          </w:tcPr>
          <w:p w14:paraId="239C364D" w14:textId="375DE453" w:rsidR="00293C15" w:rsidRDefault="00293C15" w:rsidP="00EF5145">
            <w:r>
              <w:t>54.00</w:t>
            </w:r>
          </w:p>
        </w:tc>
        <w:tc>
          <w:tcPr>
            <w:tcW w:w="3750" w:type="dxa"/>
          </w:tcPr>
          <w:p w14:paraId="3ADBF4A0" w14:textId="023C4A4A" w:rsidR="00293C15" w:rsidRDefault="001277AF" w:rsidP="00EF5145">
            <w:r>
              <w:t>Biomass-energy ratio corresponding to 2</w:t>
            </w:r>
            <w:r w:rsidRPr="001277AF">
              <w:rPr>
                <w:vertAlign w:val="superscript"/>
              </w:rPr>
              <w:t>nd</w:t>
            </w:r>
            <w:r>
              <w:t xml:space="preserve"> point on the radiation use efficiency curve</w:t>
            </w:r>
          </w:p>
        </w:tc>
        <w:tc>
          <w:tcPr>
            <w:tcW w:w="543" w:type="dxa"/>
          </w:tcPr>
          <w:p w14:paraId="234470FF" w14:textId="7CD15FC2" w:rsidR="00293C15" w:rsidRDefault="008C799E" w:rsidP="00EF5145">
            <w:r>
              <w:t>4</w:t>
            </w:r>
          </w:p>
        </w:tc>
        <w:tc>
          <w:tcPr>
            <w:tcW w:w="2424" w:type="dxa"/>
          </w:tcPr>
          <w:p w14:paraId="13AFBC6F" w14:textId="716BEF00" w:rsidR="00293C15" w:rsidRPr="00991153" w:rsidRDefault="0045269C" w:rsidP="00EF5145">
            <w:pPr>
              <w:rPr>
                <w:i/>
                <w:iCs/>
              </w:rPr>
            </w:pPr>
            <w:r>
              <w:t>?</w:t>
            </w:r>
            <w:r w:rsidR="00991153">
              <w:t xml:space="preserve"> </w:t>
            </w:r>
            <w:r w:rsidR="00991153">
              <w:rPr>
                <w:i/>
                <w:iCs/>
              </w:rPr>
              <w:t>not required</w:t>
            </w:r>
          </w:p>
        </w:tc>
      </w:tr>
      <w:tr w:rsidR="00293C15" w14:paraId="25722391" w14:textId="77777777" w:rsidTr="00F7259D">
        <w:tc>
          <w:tcPr>
            <w:tcW w:w="1407" w:type="dxa"/>
          </w:tcPr>
          <w:p w14:paraId="46186891" w14:textId="12952C35" w:rsidR="00293C15" w:rsidRDefault="008C799E" w:rsidP="00EF5145">
            <w:r>
              <w:t>RSDCO_PL</w:t>
            </w:r>
          </w:p>
        </w:tc>
        <w:tc>
          <w:tcPr>
            <w:tcW w:w="1226" w:type="dxa"/>
          </w:tcPr>
          <w:p w14:paraId="31706309" w14:textId="6EF7157F" w:rsidR="00293C15" w:rsidRDefault="00293C15" w:rsidP="00EF5145">
            <w:r>
              <w:t>0.0500</w:t>
            </w:r>
          </w:p>
        </w:tc>
        <w:tc>
          <w:tcPr>
            <w:tcW w:w="3750" w:type="dxa"/>
          </w:tcPr>
          <w:p w14:paraId="3F941A60" w14:textId="1E54A70D" w:rsidR="00293C15" w:rsidRDefault="008C799E" w:rsidP="00EF5145">
            <w:r>
              <w:t>Plant residue decomposition coefficient</w:t>
            </w:r>
          </w:p>
        </w:tc>
        <w:tc>
          <w:tcPr>
            <w:tcW w:w="543" w:type="dxa"/>
          </w:tcPr>
          <w:p w14:paraId="2FC4A101" w14:textId="07538F64" w:rsidR="00293C15" w:rsidRDefault="008C799E" w:rsidP="00EF5145">
            <w:r>
              <w:t>4</w:t>
            </w:r>
          </w:p>
        </w:tc>
        <w:tc>
          <w:tcPr>
            <w:tcW w:w="2424" w:type="dxa"/>
          </w:tcPr>
          <w:p w14:paraId="25616BD2" w14:textId="78EBFD4B" w:rsidR="00293C15" w:rsidRDefault="00F33023" w:rsidP="00EF5145">
            <w:r>
              <w:t>Cibin et al., 2014; Trybula et al., 2014; Ng et al., 2011</w:t>
            </w:r>
          </w:p>
        </w:tc>
      </w:tr>
      <w:tr w:rsidR="00293C15" w14:paraId="68638840" w14:textId="77777777" w:rsidTr="00F7259D">
        <w:tc>
          <w:tcPr>
            <w:tcW w:w="1407" w:type="dxa"/>
          </w:tcPr>
          <w:p w14:paraId="26CB4812" w14:textId="777648CB" w:rsidR="00293C15" w:rsidRDefault="008C799E" w:rsidP="00EF5145">
            <w:r>
              <w:t>ALAI_MIN</w:t>
            </w:r>
          </w:p>
        </w:tc>
        <w:tc>
          <w:tcPr>
            <w:tcW w:w="1226" w:type="dxa"/>
          </w:tcPr>
          <w:p w14:paraId="5F989E93" w14:textId="30B4210F" w:rsidR="00293C15" w:rsidRDefault="00293C15" w:rsidP="00EF5145">
            <w:r>
              <w:t>0.000</w:t>
            </w:r>
          </w:p>
        </w:tc>
        <w:tc>
          <w:tcPr>
            <w:tcW w:w="3750" w:type="dxa"/>
          </w:tcPr>
          <w:p w14:paraId="7D08448A" w14:textId="47D1B43B" w:rsidR="00293C15" w:rsidRDefault="008C799E" w:rsidP="00EF5145">
            <w:r>
              <w:t>Minimum leaf area index for plant during dormant period (m2/m2)</w:t>
            </w:r>
          </w:p>
        </w:tc>
        <w:tc>
          <w:tcPr>
            <w:tcW w:w="543" w:type="dxa"/>
          </w:tcPr>
          <w:p w14:paraId="413A6BDA" w14:textId="2BB090D3" w:rsidR="00293C15" w:rsidRDefault="008C799E" w:rsidP="00EF5145">
            <w:r>
              <w:t>4</w:t>
            </w:r>
          </w:p>
        </w:tc>
        <w:tc>
          <w:tcPr>
            <w:tcW w:w="2424" w:type="dxa"/>
          </w:tcPr>
          <w:p w14:paraId="79485EA3" w14:textId="10612986" w:rsidR="00293C15" w:rsidRDefault="00F33023" w:rsidP="00EF5145">
            <w:r>
              <w:t>Cibin et al., 2014; Trybula et al., 2014; Ng et al., 2011</w:t>
            </w:r>
          </w:p>
        </w:tc>
      </w:tr>
      <w:tr w:rsidR="00293C15" w14:paraId="0DA30C7F" w14:textId="77777777" w:rsidTr="00F7259D">
        <w:tc>
          <w:tcPr>
            <w:tcW w:w="1407" w:type="dxa"/>
          </w:tcPr>
          <w:p w14:paraId="4D6EF4F6" w14:textId="1B7B2D96" w:rsidR="00293C15" w:rsidRDefault="008C799E" w:rsidP="00EF5145">
            <w:r>
              <w:t>BIO_LEAF</w:t>
            </w:r>
          </w:p>
        </w:tc>
        <w:tc>
          <w:tcPr>
            <w:tcW w:w="1226" w:type="dxa"/>
          </w:tcPr>
          <w:p w14:paraId="34B868EB" w14:textId="685694A1" w:rsidR="00293C15" w:rsidRDefault="00293C15" w:rsidP="00EF5145">
            <w:r>
              <w:t>0.000</w:t>
            </w:r>
          </w:p>
        </w:tc>
        <w:tc>
          <w:tcPr>
            <w:tcW w:w="3750" w:type="dxa"/>
          </w:tcPr>
          <w:p w14:paraId="219DDA43" w14:textId="7BB63AAB" w:rsidR="00293C15" w:rsidRDefault="008C799E" w:rsidP="00EF5145">
            <w:r>
              <w:t>Fraction of tree biomass accumulated each year that is converted to residue during dormancy</w:t>
            </w:r>
          </w:p>
        </w:tc>
        <w:tc>
          <w:tcPr>
            <w:tcW w:w="543" w:type="dxa"/>
          </w:tcPr>
          <w:p w14:paraId="3FCAFC7B" w14:textId="2FB0A98C" w:rsidR="00293C15" w:rsidRDefault="008C799E" w:rsidP="00EF5145">
            <w:r>
              <w:t>5</w:t>
            </w:r>
          </w:p>
        </w:tc>
        <w:tc>
          <w:tcPr>
            <w:tcW w:w="2424" w:type="dxa"/>
          </w:tcPr>
          <w:p w14:paraId="6944C0BD" w14:textId="7E46CC05" w:rsidR="00293C15" w:rsidRPr="00991153" w:rsidRDefault="006F0551" w:rsidP="00EF5145">
            <w:pPr>
              <w:rPr>
                <w:i/>
                <w:iCs/>
              </w:rPr>
            </w:pPr>
            <w:r>
              <w:t>?</w:t>
            </w:r>
            <w:r w:rsidR="00991153">
              <w:t xml:space="preserve"> </w:t>
            </w:r>
            <w:r w:rsidR="00991153">
              <w:rPr>
                <w:i/>
                <w:iCs/>
              </w:rPr>
              <w:t>not required</w:t>
            </w:r>
          </w:p>
        </w:tc>
      </w:tr>
      <w:tr w:rsidR="00293C15" w14:paraId="5D23DE35" w14:textId="77777777" w:rsidTr="00F7259D">
        <w:tc>
          <w:tcPr>
            <w:tcW w:w="1407" w:type="dxa"/>
          </w:tcPr>
          <w:p w14:paraId="0D3D7DD5" w14:textId="315146A3" w:rsidR="00293C15" w:rsidRDefault="008C799E" w:rsidP="00EF5145">
            <w:r>
              <w:lastRenderedPageBreak/>
              <w:t>MAT_YRS</w:t>
            </w:r>
          </w:p>
        </w:tc>
        <w:tc>
          <w:tcPr>
            <w:tcW w:w="1226" w:type="dxa"/>
          </w:tcPr>
          <w:p w14:paraId="0B11132C" w14:textId="77BF0985" w:rsidR="00293C15" w:rsidRDefault="00293C15" w:rsidP="00EF5145">
            <w:r>
              <w:t>0</w:t>
            </w:r>
          </w:p>
        </w:tc>
        <w:tc>
          <w:tcPr>
            <w:tcW w:w="3750" w:type="dxa"/>
          </w:tcPr>
          <w:p w14:paraId="29193AB4" w14:textId="5DB335B7" w:rsidR="00293C15" w:rsidRDefault="008C799E" w:rsidP="00EF5145">
            <w:r>
              <w:t>Number of years required for tree species to reach full development (years)</w:t>
            </w:r>
          </w:p>
        </w:tc>
        <w:tc>
          <w:tcPr>
            <w:tcW w:w="543" w:type="dxa"/>
          </w:tcPr>
          <w:p w14:paraId="47EDDC50" w14:textId="276530DC" w:rsidR="00293C15" w:rsidRDefault="008C799E" w:rsidP="00EF5145">
            <w:r>
              <w:t>5</w:t>
            </w:r>
          </w:p>
        </w:tc>
        <w:tc>
          <w:tcPr>
            <w:tcW w:w="2424" w:type="dxa"/>
          </w:tcPr>
          <w:p w14:paraId="0B29C980" w14:textId="4F8939CE" w:rsidR="00293C15" w:rsidRDefault="006F0551" w:rsidP="00EF5145">
            <w:r>
              <w:t>?</w:t>
            </w:r>
          </w:p>
        </w:tc>
      </w:tr>
      <w:tr w:rsidR="00293C15" w14:paraId="6765E496" w14:textId="77777777" w:rsidTr="00F7259D">
        <w:tc>
          <w:tcPr>
            <w:tcW w:w="1407" w:type="dxa"/>
          </w:tcPr>
          <w:p w14:paraId="441085A0" w14:textId="12A154E9" w:rsidR="00293C15" w:rsidRDefault="008C799E" w:rsidP="00EF5145">
            <w:r>
              <w:t>BMX_TREES</w:t>
            </w:r>
          </w:p>
        </w:tc>
        <w:tc>
          <w:tcPr>
            <w:tcW w:w="1226" w:type="dxa"/>
          </w:tcPr>
          <w:p w14:paraId="48E313F5" w14:textId="22EC27A9" w:rsidR="00293C15" w:rsidRDefault="00293C15" w:rsidP="00EF5145">
            <w:r>
              <w:t>0.00</w:t>
            </w:r>
          </w:p>
        </w:tc>
        <w:tc>
          <w:tcPr>
            <w:tcW w:w="3750" w:type="dxa"/>
          </w:tcPr>
          <w:p w14:paraId="4A8166C2" w14:textId="6D462AC5" w:rsidR="00293C15" w:rsidRDefault="008C799E" w:rsidP="00EF5145">
            <w:r>
              <w:t>Maximum biomass for a forest (metric tons/ha)</w:t>
            </w:r>
          </w:p>
        </w:tc>
        <w:tc>
          <w:tcPr>
            <w:tcW w:w="543" w:type="dxa"/>
          </w:tcPr>
          <w:p w14:paraId="615008A0" w14:textId="701028F5" w:rsidR="00293C15" w:rsidRDefault="008C799E" w:rsidP="00EF5145">
            <w:r>
              <w:t>5</w:t>
            </w:r>
          </w:p>
        </w:tc>
        <w:tc>
          <w:tcPr>
            <w:tcW w:w="2424" w:type="dxa"/>
          </w:tcPr>
          <w:p w14:paraId="5667CE65" w14:textId="5E7B740B" w:rsidR="00293C15" w:rsidRDefault="006F0551" w:rsidP="00EF5145">
            <w:r>
              <w:t>?</w:t>
            </w:r>
          </w:p>
        </w:tc>
      </w:tr>
      <w:tr w:rsidR="00293C15" w14:paraId="1F03FCC1" w14:textId="77777777" w:rsidTr="00F7259D">
        <w:tc>
          <w:tcPr>
            <w:tcW w:w="1407" w:type="dxa"/>
          </w:tcPr>
          <w:p w14:paraId="4AFF3DE9" w14:textId="58215572" w:rsidR="00293C15" w:rsidRDefault="00F40E57" w:rsidP="00EF5145">
            <w:r>
              <w:t>EXT_COEF</w:t>
            </w:r>
          </w:p>
        </w:tc>
        <w:tc>
          <w:tcPr>
            <w:tcW w:w="1226" w:type="dxa"/>
          </w:tcPr>
          <w:p w14:paraId="3CF6F14E" w14:textId="3D360E09" w:rsidR="00293C15" w:rsidRDefault="00293C15" w:rsidP="00EF5145">
            <w:r>
              <w:t>0.550</w:t>
            </w:r>
          </w:p>
        </w:tc>
        <w:tc>
          <w:tcPr>
            <w:tcW w:w="3750" w:type="dxa"/>
          </w:tcPr>
          <w:p w14:paraId="6894191F" w14:textId="2474C7B2" w:rsidR="00293C15" w:rsidRDefault="003D14E0" w:rsidP="00EF5145">
            <w:r>
              <w:t>Light extinction coefficient</w:t>
            </w:r>
          </w:p>
        </w:tc>
        <w:tc>
          <w:tcPr>
            <w:tcW w:w="543" w:type="dxa"/>
          </w:tcPr>
          <w:p w14:paraId="1494A7A9" w14:textId="37003252" w:rsidR="00293C15" w:rsidRDefault="008C799E" w:rsidP="00EF5145">
            <w:r>
              <w:t>5</w:t>
            </w:r>
          </w:p>
        </w:tc>
        <w:tc>
          <w:tcPr>
            <w:tcW w:w="2424" w:type="dxa"/>
          </w:tcPr>
          <w:p w14:paraId="25F0B95D" w14:textId="3E7A67A4" w:rsidR="00293C15" w:rsidRDefault="000713C6" w:rsidP="00EF5145">
            <w:r>
              <w:t>Cibin et al., 2014 and Trybula et al., 2014</w:t>
            </w:r>
          </w:p>
        </w:tc>
      </w:tr>
      <w:tr w:rsidR="00F40E57" w14:paraId="24788BE7" w14:textId="77777777" w:rsidTr="00F7259D">
        <w:tc>
          <w:tcPr>
            <w:tcW w:w="1407" w:type="dxa"/>
          </w:tcPr>
          <w:p w14:paraId="77043507" w14:textId="121B1322" w:rsidR="00F40E57" w:rsidRDefault="00F40E57" w:rsidP="00F40E57">
            <w:r>
              <w:t>BMDIEOFF</w:t>
            </w:r>
          </w:p>
        </w:tc>
        <w:tc>
          <w:tcPr>
            <w:tcW w:w="1226" w:type="dxa"/>
          </w:tcPr>
          <w:p w14:paraId="7773413B" w14:textId="47DC7E88" w:rsidR="00F40E57" w:rsidRDefault="00F40E57" w:rsidP="00F40E57">
            <w:r>
              <w:t>0.100</w:t>
            </w:r>
          </w:p>
        </w:tc>
        <w:tc>
          <w:tcPr>
            <w:tcW w:w="3750" w:type="dxa"/>
          </w:tcPr>
          <w:p w14:paraId="1B9A5FA9" w14:textId="23A61BFB" w:rsidR="00F40E57" w:rsidRDefault="00F40E57" w:rsidP="00F40E57">
            <w:r>
              <w:t>Biomass dieoff fraction</w:t>
            </w:r>
          </w:p>
        </w:tc>
        <w:tc>
          <w:tcPr>
            <w:tcW w:w="543" w:type="dxa"/>
          </w:tcPr>
          <w:p w14:paraId="0C54872D" w14:textId="1D973C3F" w:rsidR="00F40E57" w:rsidRDefault="00F40E57" w:rsidP="00F40E57">
            <w:r>
              <w:t>5</w:t>
            </w:r>
          </w:p>
        </w:tc>
        <w:tc>
          <w:tcPr>
            <w:tcW w:w="2424" w:type="dxa"/>
          </w:tcPr>
          <w:p w14:paraId="21D28657" w14:textId="411FAC87" w:rsidR="00F40E57" w:rsidRDefault="006F0551" w:rsidP="00F40E57">
            <w:r>
              <w:t>?</w:t>
            </w:r>
          </w:p>
        </w:tc>
      </w:tr>
    </w:tbl>
    <w:p w14:paraId="28FC9D20" w14:textId="77777777" w:rsidR="001033CE" w:rsidRDefault="001033CE"/>
    <w:p w14:paraId="3390D9BA" w14:textId="6A3D96D3" w:rsidR="0032041D" w:rsidRDefault="004B2E4C">
      <w:r w:rsidRPr="004B2E4C">
        <w:rPr>
          <w:noProof/>
        </w:rPr>
        <w:drawing>
          <wp:inline distT="0" distB="0" distL="0" distR="0" wp14:anchorId="57D00DA5" wp14:editId="5C2D3295">
            <wp:extent cx="5943600" cy="812800"/>
            <wp:effectExtent l="0" t="0" r="0" b="6350"/>
            <wp:docPr id="221194506"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94506" name="Picture 1" descr="A number of numbers on a white background&#10;&#10;Description automatically generated"/>
                    <pic:cNvPicPr/>
                  </pic:nvPicPr>
                  <pic:blipFill>
                    <a:blip r:embed="rId4"/>
                    <a:stretch>
                      <a:fillRect/>
                    </a:stretch>
                  </pic:blipFill>
                  <pic:spPr>
                    <a:xfrm>
                      <a:off x="0" y="0"/>
                      <a:ext cx="5943600" cy="812800"/>
                    </a:xfrm>
                    <a:prstGeom prst="rect">
                      <a:avLst/>
                    </a:prstGeom>
                  </pic:spPr>
                </pic:pic>
              </a:graphicData>
            </a:graphic>
          </wp:inline>
        </w:drawing>
      </w:r>
    </w:p>
    <w:p w14:paraId="4C082F27" w14:textId="32B43A2D" w:rsidR="0032041D" w:rsidRDefault="0032041D" w:rsidP="00BE1D66">
      <w:pPr>
        <w:pageBreakBefore/>
        <w:rPr>
          <w:b/>
          <w:bCs/>
        </w:rPr>
      </w:pPr>
      <w:commentRangeStart w:id="0"/>
      <w:r w:rsidRPr="00116B69">
        <w:rPr>
          <w:b/>
          <w:bCs/>
        </w:rPr>
        <w:lastRenderedPageBreak/>
        <w:t xml:space="preserve">Miscanthus </w:t>
      </w:r>
      <w:r w:rsidR="006F0551" w:rsidRPr="00116B69">
        <w:rPr>
          <w:b/>
          <w:bCs/>
        </w:rPr>
        <w:t>operational schedule parameters</w:t>
      </w:r>
      <w:r w:rsidRPr="00116B69">
        <w:rPr>
          <w:b/>
          <w:bCs/>
        </w:rPr>
        <w:t xml:space="preserve"> for MISG_base.txt</w:t>
      </w:r>
      <w:commentRangeEnd w:id="0"/>
      <w:r w:rsidR="00116B69" w:rsidRPr="00116B69">
        <w:rPr>
          <w:rStyle w:val="CommentReference"/>
          <w:b/>
          <w:bCs/>
        </w:rPr>
        <w:commentReference w:id="0"/>
      </w:r>
    </w:p>
    <w:p w14:paraId="3E716307" w14:textId="14DA478D" w:rsidR="00BE1D66" w:rsidRDefault="00BE1D66" w:rsidP="0032041D">
      <w:r w:rsidRPr="00BE1D66">
        <w:rPr>
          <w:b/>
          <w:bCs/>
          <w:noProof/>
        </w:rPr>
        <w:drawing>
          <wp:inline distT="0" distB="0" distL="0" distR="0" wp14:anchorId="3C00DADE" wp14:editId="55441CDC">
            <wp:extent cx="5943600" cy="3686810"/>
            <wp:effectExtent l="0" t="0" r="0" b="8890"/>
            <wp:docPr id="1826627306" name="Picture 1" descr="A yellow and white char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27306" name="Picture 1" descr="A yellow and white chart with black text&#10;&#10;Description automatically generated"/>
                    <pic:cNvPicPr/>
                  </pic:nvPicPr>
                  <pic:blipFill>
                    <a:blip r:embed="rId9"/>
                    <a:stretch>
                      <a:fillRect/>
                    </a:stretch>
                  </pic:blipFill>
                  <pic:spPr>
                    <a:xfrm>
                      <a:off x="0" y="0"/>
                      <a:ext cx="5943600" cy="3686810"/>
                    </a:xfrm>
                    <a:prstGeom prst="rect">
                      <a:avLst/>
                    </a:prstGeom>
                  </pic:spPr>
                </pic:pic>
              </a:graphicData>
            </a:graphic>
          </wp:inline>
        </w:drawing>
      </w:r>
      <w:r>
        <w:rPr>
          <w:b/>
          <w:bCs/>
        </w:rPr>
        <w:br/>
      </w:r>
      <w:r w:rsidRPr="00BE1D66">
        <w:t>(SWAT 2012 Documentation)</w:t>
      </w:r>
    </w:p>
    <w:p w14:paraId="7D42EA57" w14:textId="77777777" w:rsidR="00BE1D66" w:rsidRPr="00116B69" w:rsidRDefault="00BE1D66" w:rsidP="0032041D">
      <w:pPr>
        <w:rPr>
          <w:b/>
          <w:bCs/>
        </w:rPr>
      </w:pPr>
    </w:p>
    <w:p w14:paraId="24581924" w14:textId="6AF9DC17" w:rsidR="001B6F72" w:rsidRDefault="001B6F72" w:rsidP="0032041D">
      <w:r>
        <w:t xml:space="preserve">Operation: </w:t>
      </w:r>
      <w:r w:rsidRPr="000F266E">
        <w:rPr>
          <w:b/>
          <w:bCs/>
        </w:rPr>
        <w:t>Tillage</w:t>
      </w:r>
      <w:r w:rsidR="00C03B14">
        <w:t xml:space="preserve"> – recommended before planting operation</w:t>
      </w:r>
      <w:r w:rsidR="0045784F">
        <w:t>, to at least a depth of 6 inches</w:t>
      </w:r>
      <w:r w:rsidR="00C03B14">
        <w:t xml:space="preserve"> (</w:t>
      </w:r>
      <w:r w:rsidR="0045784F">
        <w:t xml:space="preserve">Heaton et al., 2011; </w:t>
      </w:r>
      <w:r w:rsidR="00EE56CE">
        <w:t>Heaton</w:t>
      </w:r>
      <w:r w:rsidR="004E60FE">
        <w:t xml:space="preserve"> and </w:t>
      </w:r>
      <w:r w:rsidR="009919C8">
        <w:t>Wilson, 2013</w:t>
      </w:r>
      <w:r w:rsidR="00C03B14">
        <w:t>)</w:t>
      </w:r>
      <w:r w:rsidR="003E5DA0">
        <w:t>. Usually 2-3 weeks prior to planting.</w:t>
      </w:r>
      <w:r w:rsidR="007B3C7E">
        <w:t xml:space="preserve"> Part of weeding approach?</w:t>
      </w:r>
    </w:p>
    <w:tbl>
      <w:tblPr>
        <w:tblStyle w:val="TableGrid"/>
        <w:tblW w:w="0" w:type="auto"/>
        <w:tblLook w:val="04A0" w:firstRow="1" w:lastRow="0" w:firstColumn="1" w:lastColumn="0" w:noHBand="0" w:noVBand="1"/>
      </w:tblPr>
      <w:tblGrid>
        <w:gridCol w:w="1586"/>
        <w:gridCol w:w="839"/>
        <w:gridCol w:w="2293"/>
        <w:gridCol w:w="1307"/>
        <w:gridCol w:w="1706"/>
        <w:gridCol w:w="1619"/>
      </w:tblGrid>
      <w:tr w:rsidR="00C03B14" w14:paraId="72995986" w14:textId="77777777" w:rsidTr="00C03B14">
        <w:tc>
          <w:tcPr>
            <w:tcW w:w="1586" w:type="dxa"/>
          </w:tcPr>
          <w:p w14:paraId="443DF5CF" w14:textId="77777777" w:rsidR="00C03B14" w:rsidRDefault="00C03B14" w:rsidP="009B193C">
            <w:r>
              <w:t>Variable</w:t>
            </w:r>
          </w:p>
        </w:tc>
        <w:tc>
          <w:tcPr>
            <w:tcW w:w="839" w:type="dxa"/>
          </w:tcPr>
          <w:p w14:paraId="180BE43D" w14:textId="77777777" w:rsidR="00C03B14" w:rsidRDefault="00C03B14" w:rsidP="009B193C">
            <w:r>
              <w:t>value</w:t>
            </w:r>
          </w:p>
        </w:tc>
        <w:tc>
          <w:tcPr>
            <w:tcW w:w="2293" w:type="dxa"/>
          </w:tcPr>
          <w:p w14:paraId="1B3FAA11" w14:textId="77777777" w:rsidR="00C03B14" w:rsidRDefault="00C03B14" w:rsidP="009B193C">
            <w:r>
              <w:t>description</w:t>
            </w:r>
          </w:p>
        </w:tc>
        <w:tc>
          <w:tcPr>
            <w:tcW w:w="1307" w:type="dxa"/>
          </w:tcPr>
          <w:p w14:paraId="746C009A" w14:textId="32E3AF6C" w:rsidR="00C03B14" w:rsidRDefault="00C03B14" w:rsidP="009B193C">
            <w:r>
              <w:t>Position</w:t>
            </w:r>
          </w:p>
        </w:tc>
        <w:tc>
          <w:tcPr>
            <w:tcW w:w="1706" w:type="dxa"/>
          </w:tcPr>
          <w:p w14:paraId="00A6CE60" w14:textId="737447DC" w:rsidR="00C03B14" w:rsidRDefault="00C03B14" w:rsidP="009B193C">
            <w:r>
              <w:t>Format</w:t>
            </w:r>
          </w:p>
        </w:tc>
        <w:tc>
          <w:tcPr>
            <w:tcW w:w="1619" w:type="dxa"/>
          </w:tcPr>
          <w:p w14:paraId="6E5FF726" w14:textId="3E91F668" w:rsidR="00C03B14" w:rsidRDefault="00C03B14" w:rsidP="009B193C">
            <w:r>
              <w:t>Reference</w:t>
            </w:r>
          </w:p>
        </w:tc>
      </w:tr>
      <w:tr w:rsidR="00C03B14" w14:paraId="4FFD3B62" w14:textId="77777777" w:rsidTr="00C03B14">
        <w:tc>
          <w:tcPr>
            <w:tcW w:w="1586" w:type="dxa"/>
          </w:tcPr>
          <w:p w14:paraId="000C591A" w14:textId="13A2F864" w:rsidR="00C03B14" w:rsidRDefault="00C03B14" w:rsidP="009B193C">
            <w:r>
              <w:t>MONTH</w:t>
            </w:r>
          </w:p>
        </w:tc>
        <w:tc>
          <w:tcPr>
            <w:tcW w:w="839" w:type="dxa"/>
          </w:tcPr>
          <w:p w14:paraId="74C2F1D0" w14:textId="1734B9DE" w:rsidR="00C03B14" w:rsidRDefault="00117F3A" w:rsidP="009B193C">
            <w:r>
              <w:t>5</w:t>
            </w:r>
          </w:p>
        </w:tc>
        <w:tc>
          <w:tcPr>
            <w:tcW w:w="2293" w:type="dxa"/>
          </w:tcPr>
          <w:p w14:paraId="75C3C1AE" w14:textId="77777777" w:rsidR="00C03B14" w:rsidRDefault="00C03B14" w:rsidP="009B193C"/>
        </w:tc>
        <w:tc>
          <w:tcPr>
            <w:tcW w:w="1307" w:type="dxa"/>
          </w:tcPr>
          <w:p w14:paraId="71EA2745" w14:textId="35FF9C66" w:rsidR="00C03B14" w:rsidRDefault="00C03B14" w:rsidP="009B193C">
            <w:r>
              <w:t>Space 2-3</w:t>
            </w:r>
          </w:p>
        </w:tc>
        <w:tc>
          <w:tcPr>
            <w:tcW w:w="1706" w:type="dxa"/>
          </w:tcPr>
          <w:p w14:paraId="749ECC4E" w14:textId="47998FAE" w:rsidR="00C03B14" w:rsidRDefault="00C03B14" w:rsidP="009B193C">
            <w:r>
              <w:t>2-digit integer</w:t>
            </w:r>
          </w:p>
        </w:tc>
        <w:tc>
          <w:tcPr>
            <w:tcW w:w="1619" w:type="dxa"/>
          </w:tcPr>
          <w:p w14:paraId="3EF17408" w14:textId="6499BA76" w:rsidR="00C03B14" w:rsidRDefault="00117F3A" w:rsidP="009B193C">
            <w:r>
              <w:t>Heaton et al., 2011; Heaton and Wilson, 2013</w:t>
            </w:r>
          </w:p>
        </w:tc>
      </w:tr>
      <w:tr w:rsidR="00C03B14" w14:paraId="7FE590D4" w14:textId="77777777" w:rsidTr="00C03B14">
        <w:tc>
          <w:tcPr>
            <w:tcW w:w="1586" w:type="dxa"/>
          </w:tcPr>
          <w:p w14:paraId="40DC0EB2" w14:textId="595BF0E9" w:rsidR="00C03B14" w:rsidRDefault="00C03B14" w:rsidP="009B193C">
            <w:r>
              <w:t>DAY</w:t>
            </w:r>
          </w:p>
        </w:tc>
        <w:tc>
          <w:tcPr>
            <w:tcW w:w="839" w:type="dxa"/>
          </w:tcPr>
          <w:p w14:paraId="552C9250" w14:textId="5CCB2C13" w:rsidR="00C03B14" w:rsidRDefault="00117F3A" w:rsidP="009B193C">
            <w:r>
              <w:t>1</w:t>
            </w:r>
          </w:p>
        </w:tc>
        <w:tc>
          <w:tcPr>
            <w:tcW w:w="2293" w:type="dxa"/>
          </w:tcPr>
          <w:p w14:paraId="29F5E420" w14:textId="77777777" w:rsidR="00C03B14" w:rsidRDefault="00C03B14" w:rsidP="009B193C"/>
        </w:tc>
        <w:tc>
          <w:tcPr>
            <w:tcW w:w="1307" w:type="dxa"/>
          </w:tcPr>
          <w:p w14:paraId="593D6A07" w14:textId="516B1061" w:rsidR="00C03B14" w:rsidRDefault="00C03B14" w:rsidP="009B193C">
            <w:r>
              <w:t>Space 5-6</w:t>
            </w:r>
          </w:p>
        </w:tc>
        <w:tc>
          <w:tcPr>
            <w:tcW w:w="1706" w:type="dxa"/>
          </w:tcPr>
          <w:p w14:paraId="199F53BF" w14:textId="7D8747E5" w:rsidR="00C03B14" w:rsidRDefault="00C03B14" w:rsidP="009B193C">
            <w:r>
              <w:t>2-digit integer</w:t>
            </w:r>
          </w:p>
        </w:tc>
        <w:tc>
          <w:tcPr>
            <w:tcW w:w="1619" w:type="dxa"/>
          </w:tcPr>
          <w:p w14:paraId="2419768C" w14:textId="78931E99" w:rsidR="00C03B14" w:rsidRDefault="00117F3A" w:rsidP="009B193C">
            <w:r>
              <w:t>Heaton et al., 2011; Heaton and Wilson, 2013</w:t>
            </w:r>
          </w:p>
        </w:tc>
      </w:tr>
      <w:tr w:rsidR="00C03B14" w14:paraId="31FC79C1" w14:textId="77777777" w:rsidTr="00C03B14">
        <w:tc>
          <w:tcPr>
            <w:tcW w:w="1586" w:type="dxa"/>
          </w:tcPr>
          <w:p w14:paraId="4E24E811" w14:textId="3BF36F17" w:rsidR="00C03B14" w:rsidRDefault="00C03B14" w:rsidP="009B193C">
            <w:r>
              <w:t>MGT_OP</w:t>
            </w:r>
          </w:p>
        </w:tc>
        <w:tc>
          <w:tcPr>
            <w:tcW w:w="839" w:type="dxa"/>
          </w:tcPr>
          <w:p w14:paraId="78E7A16C" w14:textId="6DF693C0" w:rsidR="00C03B14" w:rsidRDefault="001B531E" w:rsidP="009B193C">
            <w:r>
              <w:t>6</w:t>
            </w:r>
          </w:p>
        </w:tc>
        <w:tc>
          <w:tcPr>
            <w:tcW w:w="2293" w:type="dxa"/>
          </w:tcPr>
          <w:p w14:paraId="6928B6D9" w14:textId="4AFF30BA" w:rsidR="00C03B14" w:rsidRDefault="001B531E" w:rsidP="009B193C">
            <w:r>
              <w:t>Tillage</w:t>
            </w:r>
          </w:p>
        </w:tc>
        <w:tc>
          <w:tcPr>
            <w:tcW w:w="1307" w:type="dxa"/>
          </w:tcPr>
          <w:p w14:paraId="59FBA488" w14:textId="25F6DE70" w:rsidR="00C03B14" w:rsidRDefault="00C03B14" w:rsidP="009B193C">
            <w:r>
              <w:t>Space 17-18</w:t>
            </w:r>
          </w:p>
        </w:tc>
        <w:tc>
          <w:tcPr>
            <w:tcW w:w="1706" w:type="dxa"/>
          </w:tcPr>
          <w:p w14:paraId="1F46D7BF" w14:textId="7996E2A9" w:rsidR="00C03B14" w:rsidRDefault="00C03B14" w:rsidP="009B193C">
            <w:r>
              <w:t>2-digit integer</w:t>
            </w:r>
          </w:p>
        </w:tc>
        <w:tc>
          <w:tcPr>
            <w:tcW w:w="1619" w:type="dxa"/>
          </w:tcPr>
          <w:p w14:paraId="25E3DF5B" w14:textId="014C0738" w:rsidR="00C03B14" w:rsidRDefault="00DD395D" w:rsidP="009B193C">
            <w:r>
              <w:t>--</w:t>
            </w:r>
          </w:p>
        </w:tc>
      </w:tr>
      <w:tr w:rsidR="00C03B14" w14:paraId="033ED90C" w14:textId="77777777" w:rsidTr="00C03B14">
        <w:tc>
          <w:tcPr>
            <w:tcW w:w="1586" w:type="dxa"/>
          </w:tcPr>
          <w:p w14:paraId="3DD7B6D5" w14:textId="0165D9D6" w:rsidR="00C03B14" w:rsidRDefault="00C03B14" w:rsidP="009B193C">
            <w:r>
              <w:t>TILL_ID</w:t>
            </w:r>
          </w:p>
        </w:tc>
        <w:tc>
          <w:tcPr>
            <w:tcW w:w="839" w:type="dxa"/>
          </w:tcPr>
          <w:p w14:paraId="178DDB6E" w14:textId="34E72A16" w:rsidR="00C03B14" w:rsidRDefault="00A43928" w:rsidP="009B193C">
            <w:r>
              <w:t>6</w:t>
            </w:r>
          </w:p>
        </w:tc>
        <w:tc>
          <w:tcPr>
            <w:tcW w:w="2293" w:type="dxa"/>
          </w:tcPr>
          <w:p w14:paraId="3827BA77" w14:textId="23021A3E" w:rsidR="00C03B14" w:rsidRDefault="00A43928" w:rsidP="009B193C">
            <w:r>
              <w:t>Fldcge15</w:t>
            </w:r>
            <w:r w:rsidR="00B11541">
              <w:t xml:space="preserve">: </w:t>
            </w:r>
            <w:r w:rsidR="0040764C">
              <w:t>till field cultivator</w:t>
            </w:r>
            <w:r>
              <w:t xml:space="preserve">. </w:t>
            </w:r>
            <w:r w:rsidR="00B11541">
              <w:t>F</w:t>
            </w:r>
            <w:r>
              <w:t>rom tillage database (see pg 597 Appendix A.2).</w:t>
            </w:r>
          </w:p>
        </w:tc>
        <w:tc>
          <w:tcPr>
            <w:tcW w:w="1307" w:type="dxa"/>
          </w:tcPr>
          <w:p w14:paraId="67294736" w14:textId="4FAD282D" w:rsidR="00C03B14" w:rsidRDefault="00C03B14" w:rsidP="009B193C">
            <w:r>
              <w:t>Space 20-23</w:t>
            </w:r>
          </w:p>
        </w:tc>
        <w:tc>
          <w:tcPr>
            <w:tcW w:w="1706" w:type="dxa"/>
          </w:tcPr>
          <w:p w14:paraId="13B87F24" w14:textId="4C992124" w:rsidR="00C03B14" w:rsidRDefault="00C03B14" w:rsidP="009B193C">
            <w:r>
              <w:t>4-digit integer</w:t>
            </w:r>
          </w:p>
        </w:tc>
        <w:tc>
          <w:tcPr>
            <w:tcW w:w="1619" w:type="dxa"/>
          </w:tcPr>
          <w:p w14:paraId="359DD69B" w14:textId="0FE3080C" w:rsidR="00C03B14" w:rsidRDefault="00C03B14" w:rsidP="009B193C"/>
        </w:tc>
      </w:tr>
    </w:tbl>
    <w:p w14:paraId="569277BB" w14:textId="77777777" w:rsidR="0032041D" w:rsidRDefault="0032041D"/>
    <w:p w14:paraId="67B0DC0A" w14:textId="1B4738E8" w:rsidR="00C03B14" w:rsidRDefault="00C03B14" w:rsidP="00C03B14">
      <w:r>
        <w:t xml:space="preserve">Operation: </w:t>
      </w:r>
      <w:r w:rsidRPr="000F266E">
        <w:rPr>
          <w:b/>
          <w:bCs/>
        </w:rPr>
        <w:t>Plant</w:t>
      </w:r>
      <w:r w:rsidR="009919C8" w:rsidRPr="000F266E">
        <w:rPr>
          <w:b/>
          <w:bCs/>
        </w:rPr>
        <w:t>ing</w:t>
      </w:r>
      <w:r w:rsidR="009919C8">
        <w:t xml:space="preserve"> – recommended on or around May 1</w:t>
      </w:r>
      <w:r w:rsidR="009919C8" w:rsidRPr="009919C8">
        <w:rPr>
          <w:vertAlign w:val="superscript"/>
        </w:rPr>
        <w:t>st</w:t>
      </w:r>
      <w:r w:rsidR="009919C8">
        <w:t xml:space="preserve"> (when temps are around 50 C)</w:t>
      </w:r>
      <w:r w:rsidR="006F6885">
        <w:t>, similar to planting schedule of corn</w:t>
      </w:r>
      <w:r w:rsidR="009D59D2">
        <w:t xml:space="preserve"> (</w:t>
      </w:r>
      <w:r w:rsidR="001B1630">
        <w:t xml:space="preserve">Heaton et al., 2011; NRCS USDA, 2011; </w:t>
      </w:r>
      <w:r w:rsidR="009D59D2">
        <w:t>Heaton and Wilson, 2013</w:t>
      </w:r>
      <w:r w:rsidR="003C457D">
        <w:t>;</w:t>
      </w:r>
      <w:r w:rsidR="004F52D8">
        <w:t xml:space="preserve"> Trybula et </w:t>
      </w:r>
      <w:r w:rsidR="004F52D8">
        <w:lastRenderedPageBreak/>
        <w:t>al., 2014</w:t>
      </w:r>
      <w:r w:rsidR="009D59D2">
        <w:t xml:space="preserve">). </w:t>
      </w:r>
      <w:r w:rsidR="0010368F">
        <w:t>Recommended not to apply fertilizer in the first two years (</w:t>
      </w:r>
      <w:r w:rsidR="0045784F">
        <w:t xml:space="preserve">Caslin, Finnan, and McCracken 2010; </w:t>
      </w:r>
      <w:r w:rsidR="0010368F">
        <w:t>NRCS USDA, 2011).</w:t>
      </w:r>
      <w:r w:rsidR="00F16C69">
        <w:t xml:space="preserve"> No fertilizer is required during the first establishment year (Heaton and Wilson, 2013).</w:t>
      </w:r>
    </w:p>
    <w:tbl>
      <w:tblPr>
        <w:tblStyle w:val="TableGrid"/>
        <w:tblW w:w="0" w:type="auto"/>
        <w:tblLook w:val="04A0" w:firstRow="1" w:lastRow="0" w:firstColumn="1" w:lastColumn="0" w:noHBand="0" w:noVBand="1"/>
      </w:tblPr>
      <w:tblGrid>
        <w:gridCol w:w="1535"/>
        <w:gridCol w:w="1276"/>
        <w:gridCol w:w="2253"/>
        <w:gridCol w:w="1268"/>
        <w:gridCol w:w="1679"/>
        <w:gridCol w:w="1565"/>
      </w:tblGrid>
      <w:tr w:rsidR="00F96249" w14:paraId="77795140" w14:textId="77777777" w:rsidTr="009B193C">
        <w:tc>
          <w:tcPr>
            <w:tcW w:w="1586" w:type="dxa"/>
          </w:tcPr>
          <w:p w14:paraId="06F65CDA" w14:textId="77777777" w:rsidR="00C03B14" w:rsidRDefault="00C03B14" w:rsidP="009B193C">
            <w:r>
              <w:t>Variable</w:t>
            </w:r>
          </w:p>
        </w:tc>
        <w:tc>
          <w:tcPr>
            <w:tcW w:w="839" w:type="dxa"/>
          </w:tcPr>
          <w:p w14:paraId="3454DC48" w14:textId="77777777" w:rsidR="00C03B14" w:rsidRDefault="00C03B14" w:rsidP="009B193C">
            <w:r>
              <w:t>value</w:t>
            </w:r>
          </w:p>
        </w:tc>
        <w:tc>
          <w:tcPr>
            <w:tcW w:w="2293" w:type="dxa"/>
          </w:tcPr>
          <w:p w14:paraId="36937BC4" w14:textId="77777777" w:rsidR="00C03B14" w:rsidRDefault="00C03B14" w:rsidP="009B193C">
            <w:r>
              <w:t>description</w:t>
            </w:r>
          </w:p>
        </w:tc>
        <w:tc>
          <w:tcPr>
            <w:tcW w:w="1307" w:type="dxa"/>
          </w:tcPr>
          <w:p w14:paraId="52FFDE3A" w14:textId="77777777" w:rsidR="00C03B14" w:rsidRDefault="00C03B14" w:rsidP="009B193C">
            <w:r>
              <w:t>Position</w:t>
            </w:r>
          </w:p>
        </w:tc>
        <w:tc>
          <w:tcPr>
            <w:tcW w:w="1706" w:type="dxa"/>
          </w:tcPr>
          <w:p w14:paraId="3CFD309C" w14:textId="77777777" w:rsidR="00C03B14" w:rsidRDefault="00C03B14" w:rsidP="009B193C">
            <w:r>
              <w:t>Format</w:t>
            </w:r>
          </w:p>
        </w:tc>
        <w:tc>
          <w:tcPr>
            <w:tcW w:w="1619" w:type="dxa"/>
          </w:tcPr>
          <w:p w14:paraId="583EACD5" w14:textId="77777777" w:rsidR="00C03B14" w:rsidRDefault="00C03B14" w:rsidP="009B193C">
            <w:r>
              <w:t>Reference</w:t>
            </w:r>
          </w:p>
        </w:tc>
      </w:tr>
      <w:tr w:rsidR="00F96249" w14:paraId="651D680B" w14:textId="77777777" w:rsidTr="009B193C">
        <w:tc>
          <w:tcPr>
            <w:tcW w:w="1586" w:type="dxa"/>
          </w:tcPr>
          <w:p w14:paraId="042EF758" w14:textId="77777777" w:rsidR="00C03B14" w:rsidRDefault="00C03B14" w:rsidP="009B193C">
            <w:r>
              <w:t>MONTH</w:t>
            </w:r>
          </w:p>
        </w:tc>
        <w:tc>
          <w:tcPr>
            <w:tcW w:w="839" w:type="dxa"/>
          </w:tcPr>
          <w:p w14:paraId="18D39E72" w14:textId="2790F3F2" w:rsidR="00C03B14" w:rsidRDefault="003C457D" w:rsidP="009B193C">
            <w:r>
              <w:t>5</w:t>
            </w:r>
          </w:p>
        </w:tc>
        <w:tc>
          <w:tcPr>
            <w:tcW w:w="2293" w:type="dxa"/>
          </w:tcPr>
          <w:p w14:paraId="09724D17" w14:textId="77777777" w:rsidR="00C03B14" w:rsidRDefault="00C03B14" w:rsidP="009B193C"/>
        </w:tc>
        <w:tc>
          <w:tcPr>
            <w:tcW w:w="1307" w:type="dxa"/>
          </w:tcPr>
          <w:p w14:paraId="01041E63" w14:textId="77777777" w:rsidR="00C03B14" w:rsidRDefault="00C03B14" w:rsidP="009B193C">
            <w:r>
              <w:t>Space 2-3</w:t>
            </w:r>
          </w:p>
        </w:tc>
        <w:tc>
          <w:tcPr>
            <w:tcW w:w="1706" w:type="dxa"/>
          </w:tcPr>
          <w:p w14:paraId="160E63D4" w14:textId="77777777" w:rsidR="00C03B14" w:rsidRDefault="00C03B14" w:rsidP="009B193C">
            <w:r>
              <w:t>2-digit integer</w:t>
            </w:r>
          </w:p>
        </w:tc>
        <w:tc>
          <w:tcPr>
            <w:tcW w:w="1619" w:type="dxa"/>
          </w:tcPr>
          <w:p w14:paraId="411887C5" w14:textId="4DAB7EC7" w:rsidR="00C03B14" w:rsidRDefault="004F52D8" w:rsidP="009B193C">
            <w:r>
              <w:t>Heaton et al., 2011; Trybula et al., 2014</w:t>
            </w:r>
          </w:p>
        </w:tc>
      </w:tr>
      <w:tr w:rsidR="00F96249" w14:paraId="497E42AC" w14:textId="77777777" w:rsidTr="009B193C">
        <w:tc>
          <w:tcPr>
            <w:tcW w:w="1586" w:type="dxa"/>
          </w:tcPr>
          <w:p w14:paraId="342D5D7E" w14:textId="77777777" w:rsidR="00C03B14" w:rsidRDefault="00C03B14" w:rsidP="009B193C">
            <w:r>
              <w:t>DAY</w:t>
            </w:r>
          </w:p>
        </w:tc>
        <w:tc>
          <w:tcPr>
            <w:tcW w:w="839" w:type="dxa"/>
          </w:tcPr>
          <w:p w14:paraId="4B68690A" w14:textId="5309A4A5" w:rsidR="00C03B14" w:rsidRDefault="004F52D8" w:rsidP="009B193C">
            <w:r>
              <w:t>13</w:t>
            </w:r>
          </w:p>
        </w:tc>
        <w:tc>
          <w:tcPr>
            <w:tcW w:w="2293" w:type="dxa"/>
          </w:tcPr>
          <w:p w14:paraId="7F927C4C" w14:textId="77777777" w:rsidR="00C03B14" w:rsidRDefault="00C03B14" w:rsidP="009B193C"/>
        </w:tc>
        <w:tc>
          <w:tcPr>
            <w:tcW w:w="1307" w:type="dxa"/>
          </w:tcPr>
          <w:p w14:paraId="31B75D61" w14:textId="77777777" w:rsidR="00C03B14" w:rsidRDefault="00C03B14" w:rsidP="009B193C">
            <w:r>
              <w:t>Space 5-6</w:t>
            </w:r>
          </w:p>
        </w:tc>
        <w:tc>
          <w:tcPr>
            <w:tcW w:w="1706" w:type="dxa"/>
          </w:tcPr>
          <w:p w14:paraId="6286301F" w14:textId="77777777" w:rsidR="00C03B14" w:rsidRDefault="00C03B14" w:rsidP="009B193C">
            <w:r>
              <w:t>2-digit integer</w:t>
            </w:r>
          </w:p>
        </w:tc>
        <w:tc>
          <w:tcPr>
            <w:tcW w:w="1619" w:type="dxa"/>
          </w:tcPr>
          <w:p w14:paraId="50F105F4" w14:textId="472B7EA5" w:rsidR="00C03B14" w:rsidRDefault="004F52D8" w:rsidP="009B193C">
            <w:r>
              <w:t>Trybula et al., 2014</w:t>
            </w:r>
          </w:p>
        </w:tc>
      </w:tr>
      <w:tr w:rsidR="00F96249" w14:paraId="267E6636" w14:textId="77777777" w:rsidTr="009B193C">
        <w:tc>
          <w:tcPr>
            <w:tcW w:w="1586" w:type="dxa"/>
          </w:tcPr>
          <w:p w14:paraId="618371A6" w14:textId="77777777" w:rsidR="00C03B14" w:rsidRDefault="00C03B14" w:rsidP="009B193C">
            <w:r>
              <w:t>MGT_OP</w:t>
            </w:r>
          </w:p>
        </w:tc>
        <w:tc>
          <w:tcPr>
            <w:tcW w:w="839" w:type="dxa"/>
          </w:tcPr>
          <w:p w14:paraId="0AABCC9E" w14:textId="4498C7FF" w:rsidR="00C03B14" w:rsidRDefault="00576F15" w:rsidP="009B193C">
            <w:r>
              <w:t>1</w:t>
            </w:r>
          </w:p>
        </w:tc>
        <w:tc>
          <w:tcPr>
            <w:tcW w:w="2293" w:type="dxa"/>
          </w:tcPr>
          <w:p w14:paraId="7BD57EAB" w14:textId="0C27D40D" w:rsidR="00C03B14" w:rsidRDefault="005960D0" w:rsidP="009B193C">
            <w:r>
              <w:t>P</w:t>
            </w:r>
            <w:r w:rsidR="00845C91">
              <w:t>lanting</w:t>
            </w:r>
            <w:r>
              <w:t>/beginning of growing season</w:t>
            </w:r>
          </w:p>
        </w:tc>
        <w:tc>
          <w:tcPr>
            <w:tcW w:w="1307" w:type="dxa"/>
          </w:tcPr>
          <w:p w14:paraId="48696BF1" w14:textId="77777777" w:rsidR="00C03B14" w:rsidRDefault="00C03B14" w:rsidP="009B193C">
            <w:r>
              <w:t>Space 17-18</w:t>
            </w:r>
          </w:p>
        </w:tc>
        <w:tc>
          <w:tcPr>
            <w:tcW w:w="1706" w:type="dxa"/>
          </w:tcPr>
          <w:p w14:paraId="0F5EE647" w14:textId="77777777" w:rsidR="00C03B14" w:rsidRDefault="00C03B14" w:rsidP="009B193C">
            <w:r>
              <w:t>2-digit integer</w:t>
            </w:r>
          </w:p>
        </w:tc>
        <w:tc>
          <w:tcPr>
            <w:tcW w:w="1619" w:type="dxa"/>
          </w:tcPr>
          <w:p w14:paraId="46B4F095" w14:textId="5A0E1790" w:rsidR="00C03B14" w:rsidRDefault="00886C5E" w:rsidP="009B193C">
            <w:r>
              <w:t>--</w:t>
            </w:r>
          </w:p>
        </w:tc>
      </w:tr>
      <w:tr w:rsidR="00F96249" w14:paraId="7609B84A" w14:textId="77777777" w:rsidTr="009B193C">
        <w:tc>
          <w:tcPr>
            <w:tcW w:w="1586" w:type="dxa"/>
          </w:tcPr>
          <w:p w14:paraId="5A23F68A" w14:textId="72B4F095" w:rsidR="00C03B14" w:rsidRDefault="005960D0" w:rsidP="009B193C">
            <w:r>
              <w:t>PLANT_ID</w:t>
            </w:r>
          </w:p>
        </w:tc>
        <w:tc>
          <w:tcPr>
            <w:tcW w:w="839" w:type="dxa"/>
          </w:tcPr>
          <w:p w14:paraId="30B5EC91" w14:textId="490E9F6E" w:rsidR="00C03B14" w:rsidRDefault="00900AA3" w:rsidP="009B193C">
            <w:r>
              <w:t>142</w:t>
            </w:r>
          </w:p>
        </w:tc>
        <w:tc>
          <w:tcPr>
            <w:tcW w:w="2293" w:type="dxa"/>
          </w:tcPr>
          <w:p w14:paraId="4E4147BF" w14:textId="305B5517" w:rsidR="00C03B14" w:rsidRDefault="00900AA3" w:rsidP="009B193C">
            <w:r>
              <w:t>Plant identification number from plant.dat</w:t>
            </w:r>
          </w:p>
        </w:tc>
        <w:tc>
          <w:tcPr>
            <w:tcW w:w="1307" w:type="dxa"/>
          </w:tcPr>
          <w:p w14:paraId="396A58C2" w14:textId="750D2014" w:rsidR="00C03B14" w:rsidRDefault="003F67EA" w:rsidP="009B193C">
            <w:r>
              <w:t>S</w:t>
            </w:r>
            <w:r w:rsidR="00900AA3">
              <w:t>pace</w:t>
            </w:r>
            <w:r>
              <w:t xml:space="preserve"> 20-23</w:t>
            </w:r>
          </w:p>
        </w:tc>
        <w:tc>
          <w:tcPr>
            <w:tcW w:w="1706" w:type="dxa"/>
          </w:tcPr>
          <w:p w14:paraId="3FDBD34F" w14:textId="06EFE726" w:rsidR="00C03B14" w:rsidRDefault="003F67EA" w:rsidP="009B193C">
            <w:r>
              <w:t>4-digit integer</w:t>
            </w:r>
          </w:p>
        </w:tc>
        <w:tc>
          <w:tcPr>
            <w:tcW w:w="1619" w:type="dxa"/>
          </w:tcPr>
          <w:p w14:paraId="6F464674" w14:textId="1963A481" w:rsidR="00C03B14" w:rsidRDefault="00A70944" w:rsidP="009B193C">
            <w:r>
              <w:t>--</w:t>
            </w:r>
          </w:p>
        </w:tc>
      </w:tr>
      <w:tr w:rsidR="00F96249" w14:paraId="7A9232E4" w14:textId="77777777" w:rsidTr="009B193C">
        <w:tc>
          <w:tcPr>
            <w:tcW w:w="1586" w:type="dxa"/>
          </w:tcPr>
          <w:p w14:paraId="6DEFDB4D" w14:textId="677B7581" w:rsidR="00C03B14" w:rsidRDefault="005960D0" w:rsidP="009B193C">
            <w:r>
              <w:t>HEAT UNITS</w:t>
            </w:r>
          </w:p>
        </w:tc>
        <w:tc>
          <w:tcPr>
            <w:tcW w:w="839" w:type="dxa"/>
          </w:tcPr>
          <w:p w14:paraId="25BD12E2" w14:textId="57B4CFDA" w:rsidR="00C03B14" w:rsidRDefault="009E58B8" w:rsidP="009B193C">
            <w:r>
              <w:t>1830</w:t>
            </w:r>
            <w:r w:rsidR="00F96249">
              <w:t>.00000</w:t>
            </w:r>
          </w:p>
        </w:tc>
        <w:tc>
          <w:tcPr>
            <w:tcW w:w="2293" w:type="dxa"/>
          </w:tcPr>
          <w:p w14:paraId="618A2FF5" w14:textId="4F2B1EFA" w:rsidR="00C03B14" w:rsidRDefault="005960D0" w:rsidP="009B193C">
            <w:r>
              <w:t>Total heat units for plant to reach maturity</w:t>
            </w:r>
          </w:p>
        </w:tc>
        <w:tc>
          <w:tcPr>
            <w:tcW w:w="1307" w:type="dxa"/>
          </w:tcPr>
          <w:p w14:paraId="0D5EAB44" w14:textId="482DE094" w:rsidR="00C03B14" w:rsidRDefault="003F67EA" w:rsidP="009B193C">
            <w:r>
              <w:t>Space 32-43</w:t>
            </w:r>
          </w:p>
        </w:tc>
        <w:tc>
          <w:tcPr>
            <w:tcW w:w="1706" w:type="dxa"/>
          </w:tcPr>
          <w:p w14:paraId="03DCFA57" w14:textId="7D195ED2" w:rsidR="00C03B14" w:rsidRDefault="003F67EA" w:rsidP="009B193C">
            <w:r>
              <w:t>Decimal (xxxxxx.xxxxx)</w:t>
            </w:r>
          </w:p>
        </w:tc>
        <w:tc>
          <w:tcPr>
            <w:tcW w:w="1619" w:type="dxa"/>
          </w:tcPr>
          <w:p w14:paraId="4F7C9CA5" w14:textId="278F197C" w:rsidR="00C03B14" w:rsidRDefault="009E58B8" w:rsidP="009B193C">
            <w:r>
              <w:t>Trybula et al., 2014</w:t>
            </w:r>
          </w:p>
        </w:tc>
      </w:tr>
    </w:tbl>
    <w:p w14:paraId="745478F2" w14:textId="77777777" w:rsidR="00C03B14" w:rsidRDefault="00C03B14"/>
    <w:p w14:paraId="3774975F" w14:textId="0CA17113" w:rsidR="00C03B14" w:rsidRPr="00065A7B" w:rsidRDefault="00C03B14" w:rsidP="00C03B14">
      <w:pPr>
        <w:rPr>
          <w:color w:val="7B7B7B" w:themeColor="accent3" w:themeShade="BF"/>
        </w:rPr>
      </w:pPr>
      <w:r w:rsidRPr="00065A7B">
        <w:rPr>
          <w:color w:val="7B7B7B" w:themeColor="accent3" w:themeShade="BF"/>
        </w:rPr>
        <w:t xml:space="preserve">Operation: </w:t>
      </w:r>
      <w:r w:rsidR="00F839F7" w:rsidRPr="00065A7B">
        <w:rPr>
          <w:color w:val="7B7B7B" w:themeColor="accent3" w:themeShade="BF"/>
        </w:rPr>
        <w:t>herbicides within first year? (Anderson et al., 2010, Heaton and Wilson, 2013)</w:t>
      </w:r>
    </w:p>
    <w:tbl>
      <w:tblPr>
        <w:tblStyle w:val="TableGrid"/>
        <w:tblW w:w="0" w:type="auto"/>
        <w:tblLook w:val="04A0" w:firstRow="1" w:lastRow="0" w:firstColumn="1" w:lastColumn="0" w:noHBand="0" w:noVBand="1"/>
      </w:tblPr>
      <w:tblGrid>
        <w:gridCol w:w="1586"/>
        <w:gridCol w:w="839"/>
        <w:gridCol w:w="2293"/>
        <w:gridCol w:w="1307"/>
        <w:gridCol w:w="1706"/>
        <w:gridCol w:w="1619"/>
      </w:tblGrid>
      <w:tr w:rsidR="00065A7B" w:rsidRPr="00065A7B" w14:paraId="1C4DCADE" w14:textId="77777777" w:rsidTr="009B193C">
        <w:tc>
          <w:tcPr>
            <w:tcW w:w="1586" w:type="dxa"/>
          </w:tcPr>
          <w:p w14:paraId="0EDFF972" w14:textId="77777777" w:rsidR="00C03B14" w:rsidRPr="00065A7B" w:rsidRDefault="00C03B14" w:rsidP="009B193C">
            <w:pPr>
              <w:rPr>
                <w:color w:val="7B7B7B" w:themeColor="accent3" w:themeShade="BF"/>
              </w:rPr>
            </w:pPr>
            <w:r w:rsidRPr="00065A7B">
              <w:rPr>
                <w:color w:val="7B7B7B" w:themeColor="accent3" w:themeShade="BF"/>
              </w:rPr>
              <w:t>Variable</w:t>
            </w:r>
          </w:p>
        </w:tc>
        <w:tc>
          <w:tcPr>
            <w:tcW w:w="839" w:type="dxa"/>
          </w:tcPr>
          <w:p w14:paraId="41714D66" w14:textId="77777777" w:rsidR="00C03B14" w:rsidRPr="00065A7B" w:rsidRDefault="00C03B14" w:rsidP="009B193C">
            <w:pPr>
              <w:rPr>
                <w:color w:val="7B7B7B" w:themeColor="accent3" w:themeShade="BF"/>
              </w:rPr>
            </w:pPr>
            <w:r w:rsidRPr="00065A7B">
              <w:rPr>
                <w:color w:val="7B7B7B" w:themeColor="accent3" w:themeShade="BF"/>
              </w:rPr>
              <w:t>value</w:t>
            </w:r>
          </w:p>
        </w:tc>
        <w:tc>
          <w:tcPr>
            <w:tcW w:w="2293" w:type="dxa"/>
          </w:tcPr>
          <w:p w14:paraId="32B32ABB" w14:textId="77777777" w:rsidR="00C03B14" w:rsidRPr="00065A7B" w:rsidRDefault="00C03B14" w:rsidP="009B193C">
            <w:pPr>
              <w:rPr>
                <w:color w:val="7B7B7B" w:themeColor="accent3" w:themeShade="BF"/>
              </w:rPr>
            </w:pPr>
            <w:r w:rsidRPr="00065A7B">
              <w:rPr>
                <w:color w:val="7B7B7B" w:themeColor="accent3" w:themeShade="BF"/>
              </w:rPr>
              <w:t>description</w:t>
            </w:r>
          </w:p>
        </w:tc>
        <w:tc>
          <w:tcPr>
            <w:tcW w:w="1307" w:type="dxa"/>
          </w:tcPr>
          <w:p w14:paraId="1E7B1842" w14:textId="77777777" w:rsidR="00C03B14" w:rsidRPr="00065A7B" w:rsidRDefault="00C03B14" w:rsidP="009B193C">
            <w:pPr>
              <w:rPr>
                <w:color w:val="7B7B7B" w:themeColor="accent3" w:themeShade="BF"/>
              </w:rPr>
            </w:pPr>
            <w:r w:rsidRPr="00065A7B">
              <w:rPr>
                <w:color w:val="7B7B7B" w:themeColor="accent3" w:themeShade="BF"/>
              </w:rPr>
              <w:t>Position</w:t>
            </w:r>
          </w:p>
        </w:tc>
        <w:tc>
          <w:tcPr>
            <w:tcW w:w="1706" w:type="dxa"/>
          </w:tcPr>
          <w:p w14:paraId="735E6B06" w14:textId="77777777" w:rsidR="00C03B14" w:rsidRPr="00065A7B" w:rsidRDefault="00C03B14" w:rsidP="009B193C">
            <w:pPr>
              <w:rPr>
                <w:color w:val="7B7B7B" w:themeColor="accent3" w:themeShade="BF"/>
              </w:rPr>
            </w:pPr>
            <w:r w:rsidRPr="00065A7B">
              <w:rPr>
                <w:color w:val="7B7B7B" w:themeColor="accent3" w:themeShade="BF"/>
              </w:rPr>
              <w:t>Format</w:t>
            </w:r>
          </w:p>
        </w:tc>
        <w:tc>
          <w:tcPr>
            <w:tcW w:w="1619" w:type="dxa"/>
          </w:tcPr>
          <w:p w14:paraId="083CB739" w14:textId="77777777" w:rsidR="00C03B14" w:rsidRPr="00065A7B" w:rsidRDefault="00C03B14" w:rsidP="009B193C">
            <w:pPr>
              <w:rPr>
                <w:color w:val="7B7B7B" w:themeColor="accent3" w:themeShade="BF"/>
              </w:rPr>
            </w:pPr>
            <w:r w:rsidRPr="00065A7B">
              <w:rPr>
                <w:color w:val="7B7B7B" w:themeColor="accent3" w:themeShade="BF"/>
              </w:rPr>
              <w:t>Reference</w:t>
            </w:r>
          </w:p>
        </w:tc>
      </w:tr>
      <w:tr w:rsidR="00065A7B" w:rsidRPr="00065A7B" w14:paraId="000A207D" w14:textId="77777777" w:rsidTr="009B193C">
        <w:tc>
          <w:tcPr>
            <w:tcW w:w="1586" w:type="dxa"/>
          </w:tcPr>
          <w:p w14:paraId="6F6C7339" w14:textId="77777777" w:rsidR="00C03B14" w:rsidRPr="00065A7B" w:rsidRDefault="00C03B14" w:rsidP="009B193C">
            <w:pPr>
              <w:rPr>
                <w:color w:val="7B7B7B" w:themeColor="accent3" w:themeShade="BF"/>
              </w:rPr>
            </w:pPr>
            <w:r w:rsidRPr="00065A7B">
              <w:rPr>
                <w:color w:val="7B7B7B" w:themeColor="accent3" w:themeShade="BF"/>
              </w:rPr>
              <w:t>MONTH</w:t>
            </w:r>
          </w:p>
        </w:tc>
        <w:tc>
          <w:tcPr>
            <w:tcW w:w="839" w:type="dxa"/>
          </w:tcPr>
          <w:p w14:paraId="2E8D43F9" w14:textId="77777777" w:rsidR="00C03B14" w:rsidRPr="00065A7B" w:rsidRDefault="00C03B14" w:rsidP="009B193C">
            <w:pPr>
              <w:rPr>
                <w:color w:val="7B7B7B" w:themeColor="accent3" w:themeShade="BF"/>
              </w:rPr>
            </w:pPr>
          </w:p>
        </w:tc>
        <w:tc>
          <w:tcPr>
            <w:tcW w:w="2293" w:type="dxa"/>
          </w:tcPr>
          <w:p w14:paraId="7C758171" w14:textId="77777777" w:rsidR="00C03B14" w:rsidRPr="00065A7B" w:rsidRDefault="00C03B14" w:rsidP="009B193C">
            <w:pPr>
              <w:rPr>
                <w:color w:val="7B7B7B" w:themeColor="accent3" w:themeShade="BF"/>
              </w:rPr>
            </w:pPr>
          </w:p>
        </w:tc>
        <w:tc>
          <w:tcPr>
            <w:tcW w:w="1307" w:type="dxa"/>
          </w:tcPr>
          <w:p w14:paraId="42F3D206" w14:textId="77777777" w:rsidR="00C03B14" w:rsidRPr="00065A7B" w:rsidRDefault="00C03B14" w:rsidP="009B193C">
            <w:pPr>
              <w:rPr>
                <w:color w:val="7B7B7B" w:themeColor="accent3" w:themeShade="BF"/>
              </w:rPr>
            </w:pPr>
            <w:r w:rsidRPr="00065A7B">
              <w:rPr>
                <w:color w:val="7B7B7B" w:themeColor="accent3" w:themeShade="BF"/>
              </w:rPr>
              <w:t>Space 2-3</w:t>
            </w:r>
          </w:p>
        </w:tc>
        <w:tc>
          <w:tcPr>
            <w:tcW w:w="1706" w:type="dxa"/>
          </w:tcPr>
          <w:p w14:paraId="1ECD0154" w14:textId="77777777" w:rsidR="00C03B14" w:rsidRPr="00065A7B" w:rsidRDefault="00C03B14" w:rsidP="009B193C">
            <w:pPr>
              <w:rPr>
                <w:color w:val="7B7B7B" w:themeColor="accent3" w:themeShade="BF"/>
              </w:rPr>
            </w:pPr>
            <w:r w:rsidRPr="00065A7B">
              <w:rPr>
                <w:color w:val="7B7B7B" w:themeColor="accent3" w:themeShade="BF"/>
              </w:rPr>
              <w:t>2-digit integer</w:t>
            </w:r>
          </w:p>
        </w:tc>
        <w:tc>
          <w:tcPr>
            <w:tcW w:w="1619" w:type="dxa"/>
          </w:tcPr>
          <w:p w14:paraId="39B8C27E" w14:textId="77777777" w:rsidR="00C03B14" w:rsidRPr="00065A7B" w:rsidRDefault="00C03B14" w:rsidP="009B193C">
            <w:pPr>
              <w:rPr>
                <w:color w:val="7B7B7B" w:themeColor="accent3" w:themeShade="BF"/>
              </w:rPr>
            </w:pPr>
          </w:p>
        </w:tc>
      </w:tr>
      <w:tr w:rsidR="00065A7B" w:rsidRPr="00065A7B" w14:paraId="7BE6A720" w14:textId="77777777" w:rsidTr="009B193C">
        <w:tc>
          <w:tcPr>
            <w:tcW w:w="1586" w:type="dxa"/>
          </w:tcPr>
          <w:p w14:paraId="1F8CFE2E" w14:textId="77777777" w:rsidR="00C03B14" w:rsidRPr="00065A7B" w:rsidRDefault="00C03B14" w:rsidP="009B193C">
            <w:pPr>
              <w:rPr>
                <w:color w:val="7B7B7B" w:themeColor="accent3" w:themeShade="BF"/>
              </w:rPr>
            </w:pPr>
            <w:r w:rsidRPr="00065A7B">
              <w:rPr>
                <w:color w:val="7B7B7B" w:themeColor="accent3" w:themeShade="BF"/>
              </w:rPr>
              <w:t>DAY</w:t>
            </w:r>
          </w:p>
        </w:tc>
        <w:tc>
          <w:tcPr>
            <w:tcW w:w="839" w:type="dxa"/>
          </w:tcPr>
          <w:p w14:paraId="7EFFE8F9" w14:textId="77777777" w:rsidR="00C03B14" w:rsidRPr="00065A7B" w:rsidRDefault="00C03B14" w:rsidP="009B193C">
            <w:pPr>
              <w:rPr>
                <w:color w:val="7B7B7B" w:themeColor="accent3" w:themeShade="BF"/>
              </w:rPr>
            </w:pPr>
          </w:p>
        </w:tc>
        <w:tc>
          <w:tcPr>
            <w:tcW w:w="2293" w:type="dxa"/>
          </w:tcPr>
          <w:p w14:paraId="3A99A420" w14:textId="77777777" w:rsidR="00C03B14" w:rsidRPr="00065A7B" w:rsidRDefault="00C03B14" w:rsidP="009B193C">
            <w:pPr>
              <w:rPr>
                <w:color w:val="7B7B7B" w:themeColor="accent3" w:themeShade="BF"/>
              </w:rPr>
            </w:pPr>
          </w:p>
        </w:tc>
        <w:tc>
          <w:tcPr>
            <w:tcW w:w="1307" w:type="dxa"/>
          </w:tcPr>
          <w:p w14:paraId="333A2948" w14:textId="77777777" w:rsidR="00C03B14" w:rsidRPr="00065A7B" w:rsidRDefault="00C03B14" w:rsidP="009B193C">
            <w:pPr>
              <w:rPr>
                <w:color w:val="7B7B7B" w:themeColor="accent3" w:themeShade="BF"/>
              </w:rPr>
            </w:pPr>
            <w:r w:rsidRPr="00065A7B">
              <w:rPr>
                <w:color w:val="7B7B7B" w:themeColor="accent3" w:themeShade="BF"/>
              </w:rPr>
              <w:t>Space 5-6</w:t>
            </w:r>
          </w:p>
        </w:tc>
        <w:tc>
          <w:tcPr>
            <w:tcW w:w="1706" w:type="dxa"/>
          </w:tcPr>
          <w:p w14:paraId="594E77D6" w14:textId="77777777" w:rsidR="00C03B14" w:rsidRPr="00065A7B" w:rsidRDefault="00C03B14" w:rsidP="009B193C">
            <w:pPr>
              <w:rPr>
                <w:color w:val="7B7B7B" w:themeColor="accent3" w:themeShade="BF"/>
              </w:rPr>
            </w:pPr>
            <w:r w:rsidRPr="00065A7B">
              <w:rPr>
                <w:color w:val="7B7B7B" w:themeColor="accent3" w:themeShade="BF"/>
              </w:rPr>
              <w:t>2-digit integer</w:t>
            </w:r>
          </w:p>
        </w:tc>
        <w:tc>
          <w:tcPr>
            <w:tcW w:w="1619" w:type="dxa"/>
          </w:tcPr>
          <w:p w14:paraId="32582DED" w14:textId="77777777" w:rsidR="00C03B14" w:rsidRPr="00065A7B" w:rsidRDefault="00C03B14" w:rsidP="009B193C">
            <w:pPr>
              <w:rPr>
                <w:color w:val="7B7B7B" w:themeColor="accent3" w:themeShade="BF"/>
              </w:rPr>
            </w:pPr>
          </w:p>
        </w:tc>
      </w:tr>
      <w:tr w:rsidR="00065A7B" w:rsidRPr="00065A7B" w14:paraId="08CBFB3B" w14:textId="77777777" w:rsidTr="009B193C">
        <w:tc>
          <w:tcPr>
            <w:tcW w:w="1586" w:type="dxa"/>
          </w:tcPr>
          <w:p w14:paraId="5AA66225" w14:textId="77777777" w:rsidR="00C03B14" w:rsidRPr="00065A7B" w:rsidRDefault="00C03B14" w:rsidP="009B193C">
            <w:pPr>
              <w:rPr>
                <w:color w:val="7B7B7B" w:themeColor="accent3" w:themeShade="BF"/>
              </w:rPr>
            </w:pPr>
            <w:r w:rsidRPr="00065A7B">
              <w:rPr>
                <w:color w:val="7B7B7B" w:themeColor="accent3" w:themeShade="BF"/>
              </w:rPr>
              <w:t>HUSC</w:t>
            </w:r>
          </w:p>
        </w:tc>
        <w:tc>
          <w:tcPr>
            <w:tcW w:w="839" w:type="dxa"/>
          </w:tcPr>
          <w:p w14:paraId="3C101875" w14:textId="77777777" w:rsidR="00C03B14" w:rsidRPr="00065A7B" w:rsidRDefault="00C03B14" w:rsidP="009B193C">
            <w:pPr>
              <w:rPr>
                <w:color w:val="7B7B7B" w:themeColor="accent3" w:themeShade="BF"/>
              </w:rPr>
            </w:pPr>
          </w:p>
        </w:tc>
        <w:tc>
          <w:tcPr>
            <w:tcW w:w="2293" w:type="dxa"/>
          </w:tcPr>
          <w:p w14:paraId="50871360" w14:textId="77777777" w:rsidR="00C03B14" w:rsidRPr="00065A7B" w:rsidRDefault="00C03B14" w:rsidP="009B193C">
            <w:pPr>
              <w:rPr>
                <w:color w:val="7B7B7B" w:themeColor="accent3" w:themeShade="BF"/>
              </w:rPr>
            </w:pPr>
          </w:p>
        </w:tc>
        <w:tc>
          <w:tcPr>
            <w:tcW w:w="1307" w:type="dxa"/>
          </w:tcPr>
          <w:p w14:paraId="68FF1FAA" w14:textId="77777777" w:rsidR="00C03B14" w:rsidRPr="00065A7B" w:rsidRDefault="00C03B14" w:rsidP="009B193C">
            <w:pPr>
              <w:rPr>
                <w:color w:val="7B7B7B" w:themeColor="accent3" w:themeShade="BF"/>
              </w:rPr>
            </w:pPr>
            <w:r w:rsidRPr="00065A7B">
              <w:rPr>
                <w:color w:val="7B7B7B" w:themeColor="accent3" w:themeShade="BF"/>
              </w:rPr>
              <w:t>Space 8-15</w:t>
            </w:r>
          </w:p>
        </w:tc>
        <w:tc>
          <w:tcPr>
            <w:tcW w:w="1706" w:type="dxa"/>
          </w:tcPr>
          <w:p w14:paraId="1E6EBC23" w14:textId="77777777" w:rsidR="00C03B14" w:rsidRPr="00065A7B" w:rsidRDefault="00C03B14" w:rsidP="009B193C">
            <w:pPr>
              <w:rPr>
                <w:color w:val="7B7B7B" w:themeColor="accent3" w:themeShade="BF"/>
              </w:rPr>
            </w:pPr>
            <w:r w:rsidRPr="00065A7B">
              <w:rPr>
                <w:color w:val="7B7B7B" w:themeColor="accent3" w:themeShade="BF"/>
              </w:rPr>
              <w:t>Decimal (xxxx.xxx)</w:t>
            </w:r>
          </w:p>
        </w:tc>
        <w:tc>
          <w:tcPr>
            <w:tcW w:w="1619" w:type="dxa"/>
          </w:tcPr>
          <w:p w14:paraId="19345C77" w14:textId="77777777" w:rsidR="00C03B14" w:rsidRPr="00065A7B" w:rsidRDefault="00C03B14" w:rsidP="009B193C">
            <w:pPr>
              <w:rPr>
                <w:color w:val="7B7B7B" w:themeColor="accent3" w:themeShade="BF"/>
              </w:rPr>
            </w:pPr>
          </w:p>
        </w:tc>
      </w:tr>
      <w:tr w:rsidR="00065A7B" w:rsidRPr="00065A7B" w14:paraId="5D02DF90" w14:textId="77777777" w:rsidTr="009B193C">
        <w:tc>
          <w:tcPr>
            <w:tcW w:w="1586" w:type="dxa"/>
          </w:tcPr>
          <w:p w14:paraId="1471AA2D" w14:textId="77777777" w:rsidR="00C03B14" w:rsidRPr="00065A7B" w:rsidRDefault="00C03B14" w:rsidP="009B193C">
            <w:pPr>
              <w:rPr>
                <w:color w:val="7B7B7B" w:themeColor="accent3" w:themeShade="BF"/>
              </w:rPr>
            </w:pPr>
            <w:r w:rsidRPr="00065A7B">
              <w:rPr>
                <w:color w:val="7B7B7B" w:themeColor="accent3" w:themeShade="BF"/>
              </w:rPr>
              <w:t>MGT_OP</w:t>
            </w:r>
          </w:p>
        </w:tc>
        <w:tc>
          <w:tcPr>
            <w:tcW w:w="839" w:type="dxa"/>
          </w:tcPr>
          <w:p w14:paraId="679A4C79" w14:textId="77777777" w:rsidR="00C03B14" w:rsidRPr="00065A7B" w:rsidRDefault="00C03B14" w:rsidP="009B193C">
            <w:pPr>
              <w:rPr>
                <w:color w:val="7B7B7B" w:themeColor="accent3" w:themeShade="BF"/>
              </w:rPr>
            </w:pPr>
          </w:p>
        </w:tc>
        <w:tc>
          <w:tcPr>
            <w:tcW w:w="2293" w:type="dxa"/>
          </w:tcPr>
          <w:p w14:paraId="2574ACC7" w14:textId="77777777" w:rsidR="00C03B14" w:rsidRPr="00065A7B" w:rsidRDefault="00C03B14" w:rsidP="009B193C">
            <w:pPr>
              <w:rPr>
                <w:color w:val="7B7B7B" w:themeColor="accent3" w:themeShade="BF"/>
              </w:rPr>
            </w:pPr>
          </w:p>
        </w:tc>
        <w:tc>
          <w:tcPr>
            <w:tcW w:w="1307" w:type="dxa"/>
          </w:tcPr>
          <w:p w14:paraId="08151A93" w14:textId="77777777" w:rsidR="00C03B14" w:rsidRPr="00065A7B" w:rsidRDefault="00C03B14" w:rsidP="009B193C">
            <w:pPr>
              <w:rPr>
                <w:color w:val="7B7B7B" w:themeColor="accent3" w:themeShade="BF"/>
              </w:rPr>
            </w:pPr>
            <w:r w:rsidRPr="00065A7B">
              <w:rPr>
                <w:color w:val="7B7B7B" w:themeColor="accent3" w:themeShade="BF"/>
              </w:rPr>
              <w:t>Space 17-18</w:t>
            </w:r>
          </w:p>
        </w:tc>
        <w:tc>
          <w:tcPr>
            <w:tcW w:w="1706" w:type="dxa"/>
          </w:tcPr>
          <w:p w14:paraId="2CA9296F" w14:textId="77777777" w:rsidR="00C03B14" w:rsidRPr="00065A7B" w:rsidRDefault="00C03B14" w:rsidP="009B193C">
            <w:pPr>
              <w:rPr>
                <w:color w:val="7B7B7B" w:themeColor="accent3" w:themeShade="BF"/>
              </w:rPr>
            </w:pPr>
            <w:r w:rsidRPr="00065A7B">
              <w:rPr>
                <w:color w:val="7B7B7B" w:themeColor="accent3" w:themeShade="BF"/>
              </w:rPr>
              <w:t>2-digit integer</w:t>
            </w:r>
          </w:p>
        </w:tc>
        <w:tc>
          <w:tcPr>
            <w:tcW w:w="1619" w:type="dxa"/>
          </w:tcPr>
          <w:p w14:paraId="70A74B5B" w14:textId="77777777" w:rsidR="00C03B14" w:rsidRPr="00065A7B" w:rsidRDefault="00C03B14" w:rsidP="009B193C">
            <w:pPr>
              <w:rPr>
                <w:color w:val="7B7B7B" w:themeColor="accent3" w:themeShade="BF"/>
              </w:rPr>
            </w:pPr>
          </w:p>
        </w:tc>
      </w:tr>
      <w:tr w:rsidR="00065A7B" w:rsidRPr="00065A7B" w14:paraId="2A1D64C8" w14:textId="77777777" w:rsidTr="009B193C">
        <w:tc>
          <w:tcPr>
            <w:tcW w:w="1586" w:type="dxa"/>
          </w:tcPr>
          <w:p w14:paraId="52477ABE" w14:textId="7904BE9D" w:rsidR="00C03B14" w:rsidRPr="00065A7B" w:rsidRDefault="00C03B14" w:rsidP="009B193C">
            <w:pPr>
              <w:rPr>
                <w:color w:val="7B7B7B" w:themeColor="accent3" w:themeShade="BF"/>
              </w:rPr>
            </w:pPr>
          </w:p>
        </w:tc>
        <w:tc>
          <w:tcPr>
            <w:tcW w:w="839" w:type="dxa"/>
          </w:tcPr>
          <w:p w14:paraId="1B3CA64A" w14:textId="77777777" w:rsidR="00C03B14" w:rsidRPr="00065A7B" w:rsidRDefault="00C03B14" w:rsidP="009B193C">
            <w:pPr>
              <w:rPr>
                <w:color w:val="7B7B7B" w:themeColor="accent3" w:themeShade="BF"/>
              </w:rPr>
            </w:pPr>
          </w:p>
        </w:tc>
        <w:tc>
          <w:tcPr>
            <w:tcW w:w="2293" w:type="dxa"/>
          </w:tcPr>
          <w:p w14:paraId="00C42181" w14:textId="77777777" w:rsidR="00C03B14" w:rsidRPr="00065A7B" w:rsidRDefault="00C03B14" w:rsidP="009B193C">
            <w:pPr>
              <w:rPr>
                <w:color w:val="7B7B7B" w:themeColor="accent3" w:themeShade="BF"/>
              </w:rPr>
            </w:pPr>
          </w:p>
        </w:tc>
        <w:tc>
          <w:tcPr>
            <w:tcW w:w="1307" w:type="dxa"/>
          </w:tcPr>
          <w:p w14:paraId="7F460350" w14:textId="417DA531" w:rsidR="00C03B14" w:rsidRPr="00065A7B" w:rsidRDefault="00C03B14" w:rsidP="009B193C">
            <w:pPr>
              <w:rPr>
                <w:color w:val="7B7B7B" w:themeColor="accent3" w:themeShade="BF"/>
              </w:rPr>
            </w:pPr>
          </w:p>
        </w:tc>
        <w:tc>
          <w:tcPr>
            <w:tcW w:w="1706" w:type="dxa"/>
          </w:tcPr>
          <w:p w14:paraId="3BFA0FC5" w14:textId="26D7D7C7" w:rsidR="00C03B14" w:rsidRPr="00065A7B" w:rsidRDefault="00C03B14" w:rsidP="009B193C">
            <w:pPr>
              <w:rPr>
                <w:color w:val="7B7B7B" w:themeColor="accent3" w:themeShade="BF"/>
              </w:rPr>
            </w:pPr>
          </w:p>
        </w:tc>
        <w:tc>
          <w:tcPr>
            <w:tcW w:w="1619" w:type="dxa"/>
          </w:tcPr>
          <w:p w14:paraId="033BD9C1" w14:textId="77777777" w:rsidR="00C03B14" w:rsidRPr="00065A7B" w:rsidRDefault="00C03B14" w:rsidP="009B193C">
            <w:pPr>
              <w:rPr>
                <w:color w:val="7B7B7B" w:themeColor="accent3" w:themeShade="BF"/>
              </w:rPr>
            </w:pPr>
          </w:p>
        </w:tc>
      </w:tr>
      <w:tr w:rsidR="00065A7B" w:rsidRPr="00065A7B" w14:paraId="548C0C4B" w14:textId="77777777" w:rsidTr="009B193C">
        <w:tc>
          <w:tcPr>
            <w:tcW w:w="1586" w:type="dxa"/>
          </w:tcPr>
          <w:p w14:paraId="44B011D1" w14:textId="4611758F" w:rsidR="00C03B14" w:rsidRPr="00065A7B" w:rsidRDefault="00C03B14" w:rsidP="009B193C">
            <w:pPr>
              <w:rPr>
                <w:color w:val="7B7B7B" w:themeColor="accent3" w:themeShade="BF"/>
              </w:rPr>
            </w:pPr>
          </w:p>
        </w:tc>
        <w:tc>
          <w:tcPr>
            <w:tcW w:w="839" w:type="dxa"/>
          </w:tcPr>
          <w:p w14:paraId="31A86282" w14:textId="77777777" w:rsidR="00C03B14" w:rsidRPr="00065A7B" w:rsidRDefault="00C03B14" w:rsidP="009B193C">
            <w:pPr>
              <w:rPr>
                <w:color w:val="7B7B7B" w:themeColor="accent3" w:themeShade="BF"/>
              </w:rPr>
            </w:pPr>
          </w:p>
        </w:tc>
        <w:tc>
          <w:tcPr>
            <w:tcW w:w="2293" w:type="dxa"/>
          </w:tcPr>
          <w:p w14:paraId="23D7D811" w14:textId="77777777" w:rsidR="00C03B14" w:rsidRPr="00065A7B" w:rsidRDefault="00C03B14" w:rsidP="009B193C">
            <w:pPr>
              <w:rPr>
                <w:color w:val="7B7B7B" w:themeColor="accent3" w:themeShade="BF"/>
              </w:rPr>
            </w:pPr>
          </w:p>
        </w:tc>
        <w:tc>
          <w:tcPr>
            <w:tcW w:w="1307" w:type="dxa"/>
          </w:tcPr>
          <w:p w14:paraId="2A88B88D" w14:textId="375EA019" w:rsidR="00C03B14" w:rsidRPr="00065A7B" w:rsidRDefault="00C03B14" w:rsidP="009B193C">
            <w:pPr>
              <w:rPr>
                <w:color w:val="7B7B7B" w:themeColor="accent3" w:themeShade="BF"/>
              </w:rPr>
            </w:pPr>
          </w:p>
        </w:tc>
        <w:tc>
          <w:tcPr>
            <w:tcW w:w="1706" w:type="dxa"/>
          </w:tcPr>
          <w:p w14:paraId="5A1CD1C9" w14:textId="0C370F9D" w:rsidR="00C03B14" w:rsidRPr="00065A7B" w:rsidRDefault="00C03B14" w:rsidP="009B193C">
            <w:pPr>
              <w:rPr>
                <w:color w:val="7B7B7B" w:themeColor="accent3" w:themeShade="BF"/>
              </w:rPr>
            </w:pPr>
          </w:p>
        </w:tc>
        <w:tc>
          <w:tcPr>
            <w:tcW w:w="1619" w:type="dxa"/>
          </w:tcPr>
          <w:p w14:paraId="1EA900AF" w14:textId="77777777" w:rsidR="00C03B14" w:rsidRPr="00065A7B" w:rsidRDefault="00C03B14" w:rsidP="009B193C">
            <w:pPr>
              <w:rPr>
                <w:color w:val="7B7B7B" w:themeColor="accent3" w:themeShade="BF"/>
              </w:rPr>
            </w:pPr>
          </w:p>
        </w:tc>
      </w:tr>
    </w:tbl>
    <w:p w14:paraId="72A823DC" w14:textId="77777777" w:rsidR="00C03B14" w:rsidRDefault="00C03B14"/>
    <w:p w14:paraId="6F7FAA22" w14:textId="0807FA6F" w:rsidR="00E41837" w:rsidRDefault="004F0E0E">
      <w:r>
        <w:t xml:space="preserve">Operation: </w:t>
      </w:r>
      <w:r w:rsidRPr="004F0E0E">
        <w:rPr>
          <w:b/>
          <w:bCs/>
        </w:rPr>
        <w:t>f</w:t>
      </w:r>
      <w:r w:rsidR="00E41837" w:rsidRPr="004F0E0E">
        <w:rPr>
          <w:b/>
          <w:bCs/>
        </w:rPr>
        <w:t>ertilizer</w:t>
      </w:r>
      <w:r w:rsidRPr="004F0E0E">
        <w:rPr>
          <w:b/>
          <w:bCs/>
        </w:rPr>
        <w:t xml:space="preserve"> application</w:t>
      </w:r>
      <w:r w:rsidR="00E41837">
        <w:t xml:space="preserve"> – applied once a year around </w:t>
      </w:r>
      <w:r>
        <w:t>early-mid</w:t>
      </w:r>
      <w:r w:rsidR="00E41837">
        <w:t xml:space="preserve"> after 1</w:t>
      </w:r>
      <w:r w:rsidR="00E41837" w:rsidRPr="00E41837">
        <w:rPr>
          <w:vertAlign w:val="superscript"/>
        </w:rPr>
        <w:t>st</w:t>
      </w:r>
      <w:r w:rsidR="00E41837">
        <w:t xml:space="preserve"> establishment yea</w:t>
      </w:r>
      <w:r>
        <w:t xml:space="preserve">r;  </w:t>
      </w:r>
      <w:r w:rsidRPr="004F0E0E">
        <w:t>Agrotain®-coated urea</w:t>
      </w:r>
      <w:r>
        <w:t xml:space="preserve"> (Heaton et al., 2011; Trybula et al., 2014)</w:t>
      </w:r>
    </w:p>
    <w:tbl>
      <w:tblPr>
        <w:tblStyle w:val="TableGrid"/>
        <w:tblW w:w="0" w:type="auto"/>
        <w:tblLook w:val="04A0" w:firstRow="1" w:lastRow="0" w:firstColumn="1" w:lastColumn="0" w:noHBand="0" w:noVBand="1"/>
      </w:tblPr>
      <w:tblGrid>
        <w:gridCol w:w="1586"/>
        <w:gridCol w:w="1053"/>
        <w:gridCol w:w="2293"/>
        <w:gridCol w:w="1307"/>
        <w:gridCol w:w="1706"/>
        <w:gridCol w:w="1619"/>
      </w:tblGrid>
      <w:tr w:rsidR="004F0E0E" w14:paraId="4858D53E" w14:textId="77777777" w:rsidTr="009B193C">
        <w:tc>
          <w:tcPr>
            <w:tcW w:w="1586" w:type="dxa"/>
          </w:tcPr>
          <w:p w14:paraId="27F45FA9" w14:textId="77777777" w:rsidR="004F0E0E" w:rsidRDefault="004F0E0E" w:rsidP="009B193C">
            <w:r>
              <w:t>Variable</w:t>
            </w:r>
          </w:p>
        </w:tc>
        <w:tc>
          <w:tcPr>
            <w:tcW w:w="839" w:type="dxa"/>
          </w:tcPr>
          <w:p w14:paraId="6506B148" w14:textId="77777777" w:rsidR="004F0E0E" w:rsidRDefault="004F0E0E" w:rsidP="009B193C">
            <w:r>
              <w:t>value</w:t>
            </w:r>
          </w:p>
        </w:tc>
        <w:tc>
          <w:tcPr>
            <w:tcW w:w="2293" w:type="dxa"/>
          </w:tcPr>
          <w:p w14:paraId="4CCBFDA8" w14:textId="77777777" w:rsidR="004F0E0E" w:rsidRDefault="004F0E0E" w:rsidP="009B193C">
            <w:r>
              <w:t>description</w:t>
            </w:r>
          </w:p>
        </w:tc>
        <w:tc>
          <w:tcPr>
            <w:tcW w:w="1307" w:type="dxa"/>
          </w:tcPr>
          <w:p w14:paraId="48CF0274" w14:textId="77777777" w:rsidR="004F0E0E" w:rsidRDefault="004F0E0E" w:rsidP="009B193C">
            <w:r>
              <w:t>Position</w:t>
            </w:r>
          </w:p>
        </w:tc>
        <w:tc>
          <w:tcPr>
            <w:tcW w:w="1706" w:type="dxa"/>
          </w:tcPr>
          <w:p w14:paraId="489DEF9C" w14:textId="77777777" w:rsidR="004F0E0E" w:rsidRDefault="004F0E0E" w:rsidP="009B193C">
            <w:r>
              <w:t>Format</w:t>
            </w:r>
          </w:p>
        </w:tc>
        <w:tc>
          <w:tcPr>
            <w:tcW w:w="1619" w:type="dxa"/>
          </w:tcPr>
          <w:p w14:paraId="6DFE1AD8" w14:textId="77777777" w:rsidR="004F0E0E" w:rsidRDefault="004F0E0E" w:rsidP="009B193C">
            <w:r>
              <w:t>Reference</w:t>
            </w:r>
          </w:p>
        </w:tc>
      </w:tr>
      <w:tr w:rsidR="00065A7B" w14:paraId="765A93D2" w14:textId="77777777" w:rsidTr="009B193C">
        <w:tc>
          <w:tcPr>
            <w:tcW w:w="1586" w:type="dxa"/>
          </w:tcPr>
          <w:p w14:paraId="12F98045" w14:textId="77777777" w:rsidR="00065A7B" w:rsidRDefault="00065A7B" w:rsidP="00065A7B">
            <w:r>
              <w:t>MONTH</w:t>
            </w:r>
          </w:p>
        </w:tc>
        <w:tc>
          <w:tcPr>
            <w:tcW w:w="839" w:type="dxa"/>
          </w:tcPr>
          <w:p w14:paraId="08BA9B41" w14:textId="2D33CCC5" w:rsidR="00065A7B" w:rsidRDefault="00065A7B" w:rsidP="00065A7B">
            <w:r>
              <w:t>5</w:t>
            </w:r>
          </w:p>
        </w:tc>
        <w:tc>
          <w:tcPr>
            <w:tcW w:w="2293" w:type="dxa"/>
          </w:tcPr>
          <w:p w14:paraId="79E2CB53" w14:textId="5BC175C9" w:rsidR="00065A7B" w:rsidRDefault="00065A7B" w:rsidP="00065A7B"/>
        </w:tc>
        <w:tc>
          <w:tcPr>
            <w:tcW w:w="1307" w:type="dxa"/>
          </w:tcPr>
          <w:p w14:paraId="0C9F30A2" w14:textId="77777777" w:rsidR="00065A7B" w:rsidRDefault="00065A7B" w:rsidP="00065A7B">
            <w:r>
              <w:t>Space 2-3</w:t>
            </w:r>
          </w:p>
        </w:tc>
        <w:tc>
          <w:tcPr>
            <w:tcW w:w="1706" w:type="dxa"/>
          </w:tcPr>
          <w:p w14:paraId="52196588" w14:textId="77777777" w:rsidR="00065A7B" w:rsidRDefault="00065A7B" w:rsidP="00065A7B">
            <w:r>
              <w:t>2-digit integer</w:t>
            </w:r>
          </w:p>
        </w:tc>
        <w:tc>
          <w:tcPr>
            <w:tcW w:w="1619" w:type="dxa"/>
          </w:tcPr>
          <w:p w14:paraId="3358F277" w14:textId="77777777" w:rsidR="00065A7B" w:rsidRDefault="00065A7B" w:rsidP="00065A7B"/>
        </w:tc>
      </w:tr>
      <w:tr w:rsidR="00065A7B" w14:paraId="69520143" w14:textId="77777777" w:rsidTr="009B193C">
        <w:tc>
          <w:tcPr>
            <w:tcW w:w="1586" w:type="dxa"/>
          </w:tcPr>
          <w:p w14:paraId="0BE5E244" w14:textId="77777777" w:rsidR="00065A7B" w:rsidRDefault="00065A7B" w:rsidP="00065A7B">
            <w:r>
              <w:t>DAY</w:t>
            </w:r>
          </w:p>
        </w:tc>
        <w:tc>
          <w:tcPr>
            <w:tcW w:w="839" w:type="dxa"/>
          </w:tcPr>
          <w:p w14:paraId="0D2611AA" w14:textId="374361EE" w:rsidR="00065A7B" w:rsidRDefault="00065A7B" w:rsidP="00065A7B">
            <w:r>
              <w:t>15</w:t>
            </w:r>
          </w:p>
        </w:tc>
        <w:tc>
          <w:tcPr>
            <w:tcW w:w="2293" w:type="dxa"/>
          </w:tcPr>
          <w:p w14:paraId="08805AC3" w14:textId="27D07763" w:rsidR="00065A7B" w:rsidRDefault="00065A7B" w:rsidP="00065A7B"/>
        </w:tc>
        <w:tc>
          <w:tcPr>
            <w:tcW w:w="1307" w:type="dxa"/>
          </w:tcPr>
          <w:p w14:paraId="3F26A090" w14:textId="77777777" w:rsidR="00065A7B" w:rsidRDefault="00065A7B" w:rsidP="00065A7B">
            <w:r>
              <w:t>Space 5-6</w:t>
            </w:r>
          </w:p>
        </w:tc>
        <w:tc>
          <w:tcPr>
            <w:tcW w:w="1706" w:type="dxa"/>
          </w:tcPr>
          <w:p w14:paraId="47EA9738" w14:textId="77777777" w:rsidR="00065A7B" w:rsidRDefault="00065A7B" w:rsidP="00065A7B">
            <w:r>
              <w:t>2-digit integer</w:t>
            </w:r>
          </w:p>
        </w:tc>
        <w:tc>
          <w:tcPr>
            <w:tcW w:w="1619" w:type="dxa"/>
          </w:tcPr>
          <w:p w14:paraId="0DB81032" w14:textId="77B17071" w:rsidR="00065A7B" w:rsidRDefault="00065A7B" w:rsidP="00065A7B">
            <w:r>
              <w:t>Trybula et al., 2014</w:t>
            </w:r>
          </w:p>
        </w:tc>
      </w:tr>
      <w:tr w:rsidR="00065A7B" w14:paraId="1B3E4232" w14:textId="77777777" w:rsidTr="009B193C">
        <w:tc>
          <w:tcPr>
            <w:tcW w:w="1586" w:type="dxa"/>
          </w:tcPr>
          <w:p w14:paraId="56D20FB9" w14:textId="77777777" w:rsidR="00065A7B" w:rsidRDefault="00065A7B" w:rsidP="00065A7B">
            <w:r>
              <w:t>MGT_OP</w:t>
            </w:r>
          </w:p>
        </w:tc>
        <w:tc>
          <w:tcPr>
            <w:tcW w:w="839" w:type="dxa"/>
          </w:tcPr>
          <w:p w14:paraId="53B205E5" w14:textId="4EA84445" w:rsidR="00065A7B" w:rsidRDefault="009B0235" w:rsidP="00065A7B">
            <w:r>
              <w:t>3</w:t>
            </w:r>
          </w:p>
        </w:tc>
        <w:tc>
          <w:tcPr>
            <w:tcW w:w="2293" w:type="dxa"/>
          </w:tcPr>
          <w:p w14:paraId="6F990C4A" w14:textId="0B2AA808" w:rsidR="00065A7B" w:rsidRDefault="009B0235" w:rsidP="00065A7B">
            <w:r>
              <w:t>Fertilizer application</w:t>
            </w:r>
          </w:p>
        </w:tc>
        <w:tc>
          <w:tcPr>
            <w:tcW w:w="1307" w:type="dxa"/>
          </w:tcPr>
          <w:p w14:paraId="5D795483" w14:textId="77777777" w:rsidR="00065A7B" w:rsidRDefault="00065A7B" w:rsidP="00065A7B">
            <w:r>
              <w:t>Space 17-18</w:t>
            </w:r>
          </w:p>
        </w:tc>
        <w:tc>
          <w:tcPr>
            <w:tcW w:w="1706" w:type="dxa"/>
          </w:tcPr>
          <w:p w14:paraId="12AC1982" w14:textId="77777777" w:rsidR="00065A7B" w:rsidRDefault="00065A7B" w:rsidP="00065A7B">
            <w:r>
              <w:t>2-digit integer</w:t>
            </w:r>
          </w:p>
        </w:tc>
        <w:tc>
          <w:tcPr>
            <w:tcW w:w="1619" w:type="dxa"/>
          </w:tcPr>
          <w:p w14:paraId="6F5B43A0" w14:textId="6A96020D" w:rsidR="00065A7B" w:rsidRDefault="00065A7B" w:rsidP="00065A7B">
            <w:r>
              <w:t>--</w:t>
            </w:r>
          </w:p>
        </w:tc>
      </w:tr>
      <w:tr w:rsidR="00065A7B" w14:paraId="2FDEF2DB" w14:textId="77777777" w:rsidTr="009B193C">
        <w:tc>
          <w:tcPr>
            <w:tcW w:w="1586" w:type="dxa"/>
          </w:tcPr>
          <w:p w14:paraId="3E7E2F63" w14:textId="15ACEC0D" w:rsidR="00065A7B" w:rsidRDefault="00065A7B" w:rsidP="00065A7B">
            <w:r>
              <w:t>FERT_ID</w:t>
            </w:r>
          </w:p>
        </w:tc>
        <w:tc>
          <w:tcPr>
            <w:tcW w:w="839" w:type="dxa"/>
          </w:tcPr>
          <w:p w14:paraId="09ECBDCA" w14:textId="4E512527" w:rsidR="00065A7B" w:rsidRDefault="00E44E6B" w:rsidP="00065A7B">
            <w:r>
              <w:t>4</w:t>
            </w:r>
          </w:p>
        </w:tc>
        <w:tc>
          <w:tcPr>
            <w:tcW w:w="2293" w:type="dxa"/>
          </w:tcPr>
          <w:p w14:paraId="5A39932C" w14:textId="3829C280" w:rsidR="00065A7B" w:rsidRDefault="009B0235" w:rsidP="00065A7B">
            <w:r>
              <w:t>Fertilizer identification number from fertilizer database</w:t>
            </w:r>
            <w:r w:rsidR="00DA4C62">
              <w:t>; urea</w:t>
            </w:r>
          </w:p>
        </w:tc>
        <w:tc>
          <w:tcPr>
            <w:tcW w:w="1307" w:type="dxa"/>
          </w:tcPr>
          <w:p w14:paraId="6DCFDFF0" w14:textId="77777777" w:rsidR="00065A7B" w:rsidRDefault="00065A7B" w:rsidP="00065A7B">
            <w:r>
              <w:t>Space 20-23</w:t>
            </w:r>
          </w:p>
        </w:tc>
        <w:tc>
          <w:tcPr>
            <w:tcW w:w="1706" w:type="dxa"/>
          </w:tcPr>
          <w:p w14:paraId="5ACEFC09" w14:textId="77777777" w:rsidR="00065A7B" w:rsidRDefault="00065A7B" w:rsidP="00065A7B">
            <w:r>
              <w:t>4-digit integer</w:t>
            </w:r>
          </w:p>
        </w:tc>
        <w:tc>
          <w:tcPr>
            <w:tcW w:w="1619" w:type="dxa"/>
          </w:tcPr>
          <w:p w14:paraId="51A7DD3B" w14:textId="4AD50FC3" w:rsidR="00065A7B" w:rsidRDefault="00F96249" w:rsidP="00065A7B">
            <w:r>
              <w:t>--</w:t>
            </w:r>
          </w:p>
        </w:tc>
      </w:tr>
      <w:tr w:rsidR="00065A7B" w14:paraId="6BB2BFF6" w14:textId="77777777" w:rsidTr="009B193C">
        <w:tc>
          <w:tcPr>
            <w:tcW w:w="1586" w:type="dxa"/>
          </w:tcPr>
          <w:p w14:paraId="17178DE8" w14:textId="53D9F16C" w:rsidR="00065A7B" w:rsidRDefault="009B0235" w:rsidP="00065A7B">
            <w:r>
              <w:t>FRT_KG</w:t>
            </w:r>
          </w:p>
        </w:tc>
        <w:tc>
          <w:tcPr>
            <w:tcW w:w="839" w:type="dxa"/>
          </w:tcPr>
          <w:p w14:paraId="7DABC8A8" w14:textId="594B9839" w:rsidR="00065A7B" w:rsidRDefault="00F96249" w:rsidP="00065A7B">
            <w:r>
              <w:t>23.00000</w:t>
            </w:r>
          </w:p>
        </w:tc>
        <w:tc>
          <w:tcPr>
            <w:tcW w:w="2293" w:type="dxa"/>
          </w:tcPr>
          <w:p w14:paraId="423DCAE5" w14:textId="19D165EC" w:rsidR="00065A7B" w:rsidRDefault="009B0235" w:rsidP="00065A7B">
            <w:r>
              <w:t>Amount of fertilizer applied to HRU (kg/ha)</w:t>
            </w:r>
          </w:p>
        </w:tc>
        <w:tc>
          <w:tcPr>
            <w:tcW w:w="1307" w:type="dxa"/>
          </w:tcPr>
          <w:p w14:paraId="579D8264" w14:textId="296C63B6" w:rsidR="00065A7B" w:rsidRDefault="00A13EFD" w:rsidP="00065A7B">
            <w:r>
              <w:t>S</w:t>
            </w:r>
            <w:r w:rsidR="009B0235">
              <w:t>pace</w:t>
            </w:r>
            <w:r>
              <w:t xml:space="preserve"> 32-43</w:t>
            </w:r>
          </w:p>
        </w:tc>
        <w:tc>
          <w:tcPr>
            <w:tcW w:w="1706" w:type="dxa"/>
          </w:tcPr>
          <w:p w14:paraId="50A00FF1" w14:textId="39C49E0A" w:rsidR="00065A7B" w:rsidRDefault="00A13EFD" w:rsidP="00065A7B">
            <w:r>
              <w:t>Decimal (xxxxxx.xxxxx)</w:t>
            </w:r>
          </w:p>
        </w:tc>
        <w:tc>
          <w:tcPr>
            <w:tcW w:w="1619" w:type="dxa"/>
          </w:tcPr>
          <w:p w14:paraId="279073AF" w14:textId="6E6DD696" w:rsidR="00065A7B" w:rsidRDefault="00B32DE9" w:rsidP="00065A7B">
            <w:r>
              <w:t>based on switchgrass (Sundar et al., )</w:t>
            </w:r>
          </w:p>
        </w:tc>
      </w:tr>
      <w:tr w:rsidR="009B0235" w14:paraId="31D6BAB5" w14:textId="77777777" w:rsidTr="009B193C">
        <w:tc>
          <w:tcPr>
            <w:tcW w:w="1586" w:type="dxa"/>
          </w:tcPr>
          <w:p w14:paraId="06E16EED" w14:textId="02167418" w:rsidR="009B0235" w:rsidRDefault="009B0235" w:rsidP="00065A7B">
            <w:r>
              <w:t>FRT_SURFACE</w:t>
            </w:r>
          </w:p>
        </w:tc>
        <w:tc>
          <w:tcPr>
            <w:tcW w:w="839" w:type="dxa"/>
          </w:tcPr>
          <w:p w14:paraId="11691C45" w14:textId="131109D4" w:rsidR="009B0235" w:rsidRDefault="00F96249" w:rsidP="00065A7B">
            <w:r>
              <w:t>0.00</w:t>
            </w:r>
          </w:p>
        </w:tc>
        <w:tc>
          <w:tcPr>
            <w:tcW w:w="2293" w:type="dxa"/>
          </w:tcPr>
          <w:p w14:paraId="086E2FF4" w14:textId="3756071A" w:rsidR="009B0235" w:rsidRDefault="009B0235" w:rsidP="00065A7B">
            <w:r>
              <w:t xml:space="preserve">Fraction of fertilizer applied to top 10mm </w:t>
            </w:r>
            <w:r>
              <w:lastRenderedPageBreak/>
              <w:t>of soil (if set to 0, model applied 20%)</w:t>
            </w:r>
          </w:p>
        </w:tc>
        <w:tc>
          <w:tcPr>
            <w:tcW w:w="1307" w:type="dxa"/>
          </w:tcPr>
          <w:p w14:paraId="06324F8D" w14:textId="59004CE2" w:rsidR="009B0235" w:rsidRDefault="00A13EFD" w:rsidP="00065A7B">
            <w:r>
              <w:lastRenderedPageBreak/>
              <w:t>Space 45-50</w:t>
            </w:r>
          </w:p>
        </w:tc>
        <w:tc>
          <w:tcPr>
            <w:tcW w:w="1706" w:type="dxa"/>
          </w:tcPr>
          <w:p w14:paraId="532298A2" w14:textId="22C24A8C" w:rsidR="009B0235" w:rsidRDefault="00A13EFD" w:rsidP="00065A7B">
            <w:r>
              <w:t>Decimal (xxx.xx)</w:t>
            </w:r>
          </w:p>
        </w:tc>
        <w:tc>
          <w:tcPr>
            <w:tcW w:w="1619" w:type="dxa"/>
          </w:tcPr>
          <w:p w14:paraId="71465278" w14:textId="6DC33C47" w:rsidR="009B0235" w:rsidRDefault="00B32DE9" w:rsidP="00065A7B">
            <w:r>
              <w:t xml:space="preserve">based on switchgrass </w:t>
            </w:r>
            <w:r>
              <w:lastRenderedPageBreak/>
              <w:t>(Sundar et al., )</w:t>
            </w:r>
          </w:p>
        </w:tc>
      </w:tr>
    </w:tbl>
    <w:p w14:paraId="50D21ECC" w14:textId="77777777" w:rsidR="004F0E0E" w:rsidRDefault="004F0E0E"/>
    <w:p w14:paraId="74EE461E" w14:textId="108B8CFA" w:rsidR="00F839F7" w:rsidRPr="00F839F7" w:rsidRDefault="00F839F7" w:rsidP="00F839F7">
      <w:r>
        <w:t xml:space="preserve">Operation: </w:t>
      </w:r>
      <w:r w:rsidRPr="00F839F7">
        <w:rPr>
          <w:b/>
          <w:bCs/>
        </w:rPr>
        <w:t>harvesting</w:t>
      </w:r>
      <w:r>
        <w:rPr>
          <w:b/>
          <w:bCs/>
        </w:rPr>
        <w:t xml:space="preserve"> – </w:t>
      </w:r>
      <w:r>
        <w:t xml:space="preserve">optimal </w:t>
      </w:r>
      <w:r w:rsidR="002D3298">
        <w:t xml:space="preserve">when crop is dry enough for storage (&lt;20% moisture); </w:t>
      </w:r>
      <w:r w:rsidR="007A435D">
        <w:t>moisture curve for g. miscanthus in Illinois is 50% in October through 10% by Febrary</w:t>
      </w:r>
      <w:r w:rsidR="002D3298">
        <w:t xml:space="preserve"> (NRCS USDA, 2011; Heaton et al., 2011)</w:t>
      </w:r>
      <w:r w:rsidR="00A40B34">
        <w:t>. Harvest leaving 2-4 inch stubble to maximize biomass yield (Heaton et al., 2010; NRCS USDA, 2011).</w:t>
      </w:r>
      <w:r w:rsidR="0075711B">
        <w:t xml:space="preserve"> Don’t harvest in first year of growth (Heaton </w:t>
      </w:r>
      <w:r w:rsidR="00F16C69">
        <w:t>and Wilson, 2013).</w:t>
      </w:r>
    </w:p>
    <w:tbl>
      <w:tblPr>
        <w:tblStyle w:val="TableGrid"/>
        <w:tblW w:w="0" w:type="auto"/>
        <w:tblLook w:val="04A0" w:firstRow="1" w:lastRow="0" w:firstColumn="1" w:lastColumn="0" w:noHBand="0" w:noVBand="1"/>
      </w:tblPr>
      <w:tblGrid>
        <w:gridCol w:w="1586"/>
        <w:gridCol w:w="839"/>
        <w:gridCol w:w="2293"/>
        <w:gridCol w:w="1307"/>
        <w:gridCol w:w="1706"/>
        <w:gridCol w:w="1619"/>
      </w:tblGrid>
      <w:tr w:rsidR="00975EDD" w14:paraId="2FEF0125" w14:textId="77777777" w:rsidTr="009B193C">
        <w:tc>
          <w:tcPr>
            <w:tcW w:w="1586" w:type="dxa"/>
          </w:tcPr>
          <w:p w14:paraId="7404D2CC" w14:textId="77777777" w:rsidR="00F839F7" w:rsidRDefault="00F839F7" w:rsidP="009B193C">
            <w:r>
              <w:t>Variable</w:t>
            </w:r>
          </w:p>
        </w:tc>
        <w:tc>
          <w:tcPr>
            <w:tcW w:w="839" w:type="dxa"/>
          </w:tcPr>
          <w:p w14:paraId="7817DD82" w14:textId="77777777" w:rsidR="00F839F7" w:rsidRDefault="00F839F7" w:rsidP="009B193C">
            <w:r>
              <w:t>value</w:t>
            </w:r>
          </w:p>
        </w:tc>
        <w:tc>
          <w:tcPr>
            <w:tcW w:w="2293" w:type="dxa"/>
          </w:tcPr>
          <w:p w14:paraId="4699B8BD" w14:textId="77777777" w:rsidR="00F839F7" w:rsidRDefault="00F839F7" w:rsidP="009B193C">
            <w:r>
              <w:t>description</w:t>
            </w:r>
          </w:p>
        </w:tc>
        <w:tc>
          <w:tcPr>
            <w:tcW w:w="1307" w:type="dxa"/>
          </w:tcPr>
          <w:p w14:paraId="125115E3" w14:textId="77777777" w:rsidR="00F839F7" w:rsidRDefault="00F839F7" w:rsidP="009B193C">
            <w:r>
              <w:t>Position</w:t>
            </w:r>
          </w:p>
        </w:tc>
        <w:tc>
          <w:tcPr>
            <w:tcW w:w="1706" w:type="dxa"/>
          </w:tcPr>
          <w:p w14:paraId="4BC1562B" w14:textId="77777777" w:rsidR="00F839F7" w:rsidRDefault="00F839F7" w:rsidP="009B193C">
            <w:r>
              <w:t>Format</w:t>
            </w:r>
          </w:p>
        </w:tc>
        <w:tc>
          <w:tcPr>
            <w:tcW w:w="1619" w:type="dxa"/>
          </w:tcPr>
          <w:p w14:paraId="53138C02" w14:textId="77777777" w:rsidR="00F839F7" w:rsidRDefault="00F839F7" w:rsidP="009B193C">
            <w:r>
              <w:t>Reference</w:t>
            </w:r>
          </w:p>
        </w:tc>
      </w:tr>
      <w:tr w:rsidR="00975EDD" w14:paraId="0A3A4BB5" w14:textId="77777777" w:rsidTr="009B193C">
        <w:tc>
          <w:tcPr>
            <w:tcW w:w="1586" w:type="dxa"/>
          </w:tcPr>
          <w:p w14:paraId="7F0BA8CD" w14:textId="77777777" w:rsidR="00F839F7" w:rsidRDefault="00F839F7" w:rsidP="009B193C">
            <w:r>
              <w:t>MONTH</w:t>
            </w:r>
          </w:p>
        </w:tc>
        <w:tc>
          <w:tcPr>
            <w:tcW w:w="839" w:type="dxa"/>
          </w:tcPr>
          <w:p w14:paraId="7D57C1CC" w14:textId="42C38510" w:rsidR="00F839F7" w:rsidRDefault="006F174A" w:rsidP="009B193C">
            <w:r>
              <w:t>10</w:t>
            </w:r>
          </w:p>
        </w:tc>
        <w:tc>
          <w:tcPr>
            <w:tcW w:w="2293" w:type="dxa"/>
          </w:tcPr>
          <w:p w14:paraId="2AB29CBB" w14:textId="77777777" w:rsidR="00F839F7" w:rsidRDefault="00F839F7" w:rsidP="009B193C"/>
        </w:tc>
        <w:tc>
          <w:tcPr>
            <w:tcW w:w="1307" w:type="dxa"/>
          </w:tcPr>
          <w:p w14:paraId="213381E2" w14:textId="77777777" w:rsidR="00F839F7" w:rsidRDefault="00F839F7" w:rsidP="009B193C">
            <w:r>
              <w:t>Space 2-3</w:t>
            </w:r>
          </w:p>
        </w:tc>
        <w:tc>
          <w:tcPr>
            <w:tcW w:w="1706" w:type="dxa"/>
          </w:tcPr>
          <w:p w14:paraId="500A8DAC" w14:textId="77777777" w:rsidR="00F839F7" w:rsidRDefault="00F839F7" w:rsidP="009B193C">
            <w:r>
              <w:t>2-digit integer</w:t>
            </w:r>
          </w:p>
        </w:tc>
        <w:tc>
          <w:tcPr>
            <w:tcW w:w="1619" w:type="dxa"/>
          </w:tcPr>
          <w:p w14:paraId="3FE9DFC4" w14:textId="5CA4E1D4" w:rsidR="00F839F7" w:rsidRDefault="006F174A" w:rsidP="009B193C">
            <w:r>
              <w:t>Heaton et al., 2011; Trybula et al., 2014</w:t>
            </w:r>
          </w:p>
        </w:tc>
      </w:tr>
      <w:tr w:rsidR="00975EDD" w14:paraId="46CC5AFA" w14:textId="77777777" w:rsidTr="009B193C">
        <w:tc>
          <w:tcPr>
            <w:tcW w:w="1586" w:type="dxa"/>
          </w:tcPr>
          <w:p w14:paraId="797708A3" w14:textId="77777777" w:rsidR="00F839F7" w:rsidRDefault="00F839F7" w:rsidP="009B193C">
            <w:r>
              <w:t>DAY</w:t>
            </w:r>
          </w:p>
        </w:tc>
        <w:tc>
          <w:tcPr>
            <w:tcW w:w="839" w:type="dxa"/>
          </w:tcPr>
          <w:p w14:paraId="669343A8" w14:textId="159E26C0" w:rsidR="00F839F7" w:rsidRDefault="00C5503A" w:rsidP="009B193C">
            <w:r>
              <w:t>31</w:t>
            </w:r>
          </w:p>
        </w:tc>
        <w:tc>
          <w:tcPr>
            <w:tcW w:w="2293" w:type="dxa"/>
          </w:tcPr>
          <w:p w14:paraId="3A977A58" w14:textId="77777777" w:rsidR="00F839F7" w:rsidRDefault="00F839F7" w:rsidP="009B193C"/>
        </w:tc>
        <w:tc>
          <w:tcPr>
            <w:tcW w:w="1307" w:type="dxa"/>
          </w:tcPr>
          <w:p w14:paraId="603D548A" w14:textId="77777777" w:rsidR="00F839F7" w:rsidRDefault="00F839F7" w:rsidP="009B193C">
            <w:r>
              <w:t>Space 5-6</w:t>
            </w:r>
          </w:p>
        </w:tc>
        <w:tc>
          <w:tcPr>
            <w:tcW w:w="1706" w:type="dxa"/>
          </w:tcPr>
          <w:p w14:paraId="2BE1126B" w14:textId="77777777" w:rsidR="00F839F7" w:rsidRDefault="00F839F7" w:rsidP="009B193C">
            <w:r>
              <w:t>2-digit integer</w:t>
            </w:r>
          </w:p>
        </w:tc>
        <w:tc>
          <w:tcPr>
            <w:tcW w:w="1619" w:type="dxa"/>
          </w:tcPr>
          <w:p w14:paraId="748C5601" w14:textId="201780F2" w:rsidR="00F839F7" w:rsidRDefault="00C5503A" w:rsidP="009B193C">
            <w:r>
              <w:t>Heaton et al., 2011; Trybula et al., 2014</w:t>
            </w:r>
          </w:p>
        </w:tc>
      </w:tr>
      <w:tr w:rsidR="00975EDD" w14:paraId="693D0472" w14:textId="77777777" w:rsidTr="009B193C">
        <w:tc>
          <w:tcPr>
            <w:tcW w:w="1586" w:type="dxa"/>
          </w:tcPr>
          <w:p w14:paraId="0B762DEC" w14:textId="77777777" w:rsidR="00F839F7" w:rsidRDefault="00F839F7" w:rsidP="009B193C">
            <w:r>
              <w:t>MGT_OP</w:t>
            </w:r>
          </w:p>
        </w:tc>
        <w:tc>
          <w:tcPr>
            <w:tcW w:w="839" w:type="dxa"/>
          </w:tcPr>
          <w:p w14:paraId="4FCC6C92" w14:textId="03943D0E" w:rsidR="00F839F7" w:rsidRDefault="004D03D4" w:rsidP="009B193C">
            <w:r>
              <w:t>7</w:t>
            </w:r>
          </w:p>
        </w:tc>
        <w:tc>
          <w:tcPr>
            <w:tcW w:w="2293" w:type="dxa"/>
          </w:tcPr>
          <w:p w14:paraId="706DF736" w14:textId="1FE57DF9" w:rsidR="00F839F7" w:rsidRDefault="004D03D4" w:rsidP="009B193C">
            <w:r>
              <w:t>Harvest only (no kill)</w:t>
            </w:r>
          </w:p>
        </w:tc>
        <w:tc>
          <w:tcPr>
            <w:tcW w:w="1307" w:type="dxa"/>
          </w:tcPr>
          <w:p w14:paraId="45B1D6CA" w14:textId="77777777" w:rsidR="00F839F7" w:rsidRDefault="00F839F7" w:rsidP="009B193C">
            <w:r>
              <w:t>Space 17-18</w:t>
            </w:r>
          </w:p>
        </w:tc>
        <w:tc>
          <w:tcPr>
            <w:tcW w:w="1706" w:type="dxa"/>
          </w:tcPr>
          <w:p w14:paraId="5289ED1B" w14:textId="77777777" w:rsidR="00F839F7" w:rsidRDefault="00F839F7" w:rsidP="009B193C">
            <w:r>
              <w:t>2-digit integer</w:t>
            </w:r>
          </w:p>
        </w:tc>
        <w:tc>
          <w:tcPr>
            <w:tcW w:w="1619" w:type="dxa"/>
          </w:tcPr>
          <w:p w14:paraId="105A09F7" w14:textId="483FE85C" w:rsidR="00F839F7" w:rsidRDefault="0078205F" w:rsidP="009B193C">
            <w:r>
              <w:t>--</w:t>
            </w:r>
          </w:p>
        </w:tc>
      </w:tr>
      <w:tr w:rsidR="001648D0" w14:paraId="63ADD717" w14:textId="77777777" w:rsidTr="009B193C">
        <w:tc>
          <w:tcPr>
            <w:tcW w:w="1586" w:type="dxa"/>
          </w:tcPr>
          <w:p w14:paraId="34D7B6E5" w14:textId="1A172E05" w:rsidR="001648D0" w:rsidRDefault="001648D0" w:rsidP="009B193C">
            <w:r>
              <w:t>IHV_GBM</w:t>
            </w:r>
          </w:p>
        </w:tc>
        <w:tc>
          <w:tcPr>
            <w:tcW w:w="839" w:type="dxa"/>
          </w:tcPr>
          <w:p w14:paraId="52904A1D" w14:textId="064D40AC" w:rsidR="001648D0" w:rsidRDefault="001648D0" w:rsidP="009B193C">
            <w:r>
              <w:t>0</w:t>
            </w:r>
          </w:p>
        </w:tc>
        <w:tc>
          <w:tcPr>
            <w:tcW w:w="2293" w:type="dxa"/>
          </w:tcPr>
          <w:p w14:paraId="047809B3" w14:textId="0159AD3D" w:rsidR="001648D0" w:rsidRDefault="001648D0" w:rsidP="009B193C">
            <w:r>
              <w:t>Biomass harvest</w:t>
            </w:r>
          </w:p>
        </w:tc>
        <w:tc>
          <w:tcPr>
            <w:tcW w:w="1307" w:type="dxa"/>
          </w:tcPr>
          <w:p w14:paraId="0C18DB04" w14:textId="25A4AA93" w:rsidR="001648D0" w:rsidRDefault="008211F3" w:rsidP="009B193C">
            <w:r>
              <w:t>Space 25-27</w:t>
            </w:r>
          </w:p>
        </w:tc>
        <w:tc>
          <w:tcPr>
            <w:tcW w:w="1706" w:type="dxa"/>
          </w:tcPr>
          <w:p w14:paraId="3096EAC4" w14:textId="7F9231C8" w:rsidR="001648D0" w:rsidRDefault="008211F3" w:rsidP="009B193C">
            <w:r>
              <w:t>3-digit integer</w:t>
            </w:r>
          </w:p>
        </w:tc>
        <w:tc>
          <w:tcPr>
            <w:tcW w:w="1619" w:type="dxa"/>
          </w:tcPr>
          <w:p w14:paraId="28B93187" w14:textId="3104D441" w:rsidR="001648D0" w:rsidRDefault="0016121E" w:rsidP="009B193C">
            <w:r>
              <w:t>--</w:t>
            </w:r>
          </w:p>
        </w:tc>
      </w:tr>
      <w:tr w:rsidR="00975EDD" w14:paraId="7C7D5897" w14:textId="77777777" w:rsidTr="009B193C">
        <w:tc>
          <w:tcPr>
            <w:tcW w:w="1586" w:type="dxa"/>
          </w:tcPr>
          <w:p w14:paraId="16550B43" w14:textId="227BA251" w:rsidR="00975EDD" w:rsidRDefault="001648D0" w:rsidP="009B193C">
            <w:r>
              <w:t>HARVEFF</w:t>
            </w:r>
          </w:p>
        </w:tc>
        <w:tc>
          <w:tcPr>
            <w:tcW w:w="839" w:type="dxa"/>
          </w:tcPr>
          <w:p w14:paraId="579DBF23" w14:textId="2642682F" w:rsidR="00975EDD" w:rsidRDefault="000223BC" w:rsidP="009B193C">
            <w:r>
              <w:t>0.7</w:t>
            </w:r>
          </w:p>
        </w:tc>
        <w:tc>
          <w:tcPr>
            <w:tcW w:w="2293" w:type="dxa"/>
          </w:tcPr>
          <w:p w14:paraId="59BA8B96" w14:textId="538DAD76" w:rsidR="00975EDD" w:rsidRDefault="001648D0" w:rsidP="009B193C">
            <w:r>
              <w:t>Harvest efficiency</w:t>
            </w:r>
          </w:p>
        </w:tc>
        <w:tc>
          <w:tcPr>
            <w:tcW w:w="1307" w:type="dxa"/>
          </w:tcPr>
          <w:p w14:paraId="6489EC95" w14:textId="55F5D897" w:rsidR="00975EDD" w:rsidRDefault="008211F3" w:rsidP="009B193C">
            <w:r>
              <w:t>space 32-43</w:t>
            </w:r>
          </w:p>
        </w:tc>
        <w:tc>
          <w:tcPr>
            <w:tcW w:w="1706" w:type="dxa"/>
          </w:tcPr>
          <w:p w14:paraId="1A45E9F8" w14:textId="5BC58EAD" w:rsidR="00975EDD" w:rsidRDefault="000223BC" w:rsidP="009B193C">
            <w:r>
              <w:t>Decimal (xxxxxx.xxxxx)</w:t>
            </w:r>
          </w:p>
        </w:tc>
        <w:tc>
          <w:tcPr>
            <w:tcW w:w="1619" w:type="dxa"/>
          </w:tcPr>
          <w:p w14:paraId="072DA0C5" w14:textId="37A114E7" w:rsidR="00975EDD" w:rsidRDefault="000223BC" w:rsidP="009B193C">
            <w:r>
              <w:t>Trybula et al., 2014</w:t>
            </w:r>
          </w:p>
        </w:tc>
      </w:tr>
      <w:tr w:rsidR="00975EDD" w14:paraId="2601864C" w14:textId="77777777" w:rsidTr="009B193C">
        <w:tc>
          <w:tcPr>
            <w:tcW w:w="1586" w:type="dxa"/>
          </w:tcPr>
          <w:p w14:paraId="64E080B3" w14:textId="57F52C54" w:rsidR="00F839F7" w:rsidRDefault="000A4181" w:rsidP="009B193C">
            <w:commentRangeStart w:id="1"/>
            <w:r>
              <w:t xml:space="preserve">HI_OVR </w:t>
            </w:r>
          </w:p>
        </w:tc>
        <w:tc>
          <w:tcPr>
            <w:tcW w:w="839" w:type="dxa"/>
          </w:tcPr>
          <w:p w14:paraId="13B63377" w14:textId="0CF58BA7" w:rsidR="00F839F7" w:rsidRDefault="000223BC" w:rsidP="009B193C">
            <w:r>
              <w:t>1</w:t>
            </w:r>
          </w:p>
        </w:tc>
        <w:tc>
          <w:tcPr>
            <w:tcW w:w="2293" w:type="dxa"/>
          </w:tcPr>
          <w:p w14:paraId="4FE106F0" w14:textId="71F9B83C" w:rsidR="00F839F7" w:rsidRDefault="00AD272E" w:rsidP="009B193C">
            <w:r>
              <w:t>Harvest index override ((kg/ha)/(kg/ha))</w:t>
            </w:r>
          </w:p>
        </w:tc>
        <w:tc>
          <w:tcPr>
            <w:tcW w:w="1307" w:type="dxa"/>
          </w:tcPr>
          <w:p w14:paraId="06D41390" w14:textId="43F4A8B1" w:rsidR="00F839F7" w:rsidRDefault="004823DA" w:rsidP="009B193C">
            <w:r>
              <w:t>Space 45-50</w:t>
            </w:r>
          </w:p>
        </w:tc>
        <w:tc>
          <w:tcPr>
            <w:tcW w:w="1706" w:type="dxa"/>
          </w:tcPr>
          <w:p w14:paraId="10FF1DC8" w14:textId="4028202E" w:rsidR="00F839F7" w:rsidRDefault="004823DA" w:rsidP="009B193C">
            <w:r>
              <w:t>Decimal (xxx.xx)</w:t>
            </w:r>
          </w:p>
        </w:tc>
        <w:tc>
          <w:tcPr>
            <w:tcW w:w="1619" w:type="dxa"/>
          </w:tcPr>
          <w:p w14:paraId="26264A6A" w14:textId="39ABC01B" w:rsidR="00F839F7" w:rsidRDefault="000223BC" w:rsidP="009B193C">
            <w:r>
              <w:t>Trybula et al., 2014</w:t>
            </w:r>
            <w:commentRangeEnd w:id="1"/>
            <w:r w:rsidR="00CB0B23">
              <w:rPr>
                <w:rStyle w:val="CommentReference"/>
              </w:rPr>
              <w:commentReference w:id="1"/>
            </w:r>
          </w:p>
        </w:tc>
      </w:tr>
    </w:tbl>
    <w:p w14:paraId="64D906FF" w14:textId="77777777" w:rsidR="00F839F7" w:rsidRDefault="00F839F7"/>
    <w:p w14:paraId="09D47996" w14:textId="313F5FCF" w:rsidR="00506A47" w:rsidRPr="003B05B3" w:rsidRDefault="00506A47">
      <w:pPr>
        <w:rPr>
          <w:u w:val="single"/>
        </w:rPr>
      </w:pPr>
      <w:r w:rsidRPr="003B05B3">
        <w:rPr>
          <w:u w:val="single"/>
        </w:rPr>
        <w:t>Management schedule:</w:t>
      </w:r>
      <w:r w:rsidR="00E40848" w:rsidRPr="003B05B3">
        <w:rPr>
          <w:u w:val="single"/>
        </w:rPr>
        <w:t xml:space="preserve"> 10 years of rotation</w:t>
      </w:r>
    </w:p>
    <w:p w14:paraId="51A8215B" w14:textId="27B7B2EA" w:rsidR="00506A47" w:rsidRDefault="00506A47">
      <w:r>
        <w:t>Year 1:</w:t>
      </w:r>
      <w:r w:rsidR="00E40848">
        <w:t xml:space="preserve"> Tillage, (herbicide application if possible), planting</w:t>
      </w:r>
      <w:r w:rsidR="007C29A8">
        <w:t xml:space="preserve"> in early May (in Midwest)</w:t>
      </w:r>
    </w:p>
    <w:p w14:paraId="0604FBC3" w14:textId="731DB984" w:rsidR="00506A47" w:rsidRDefault="00506A47">
      <w:r>
        <w:t>Year 2:</w:t>
      </w:r>
      <w:r w:rsidR="00E40848">
        <w:t xml:space="preserve"> (herbicide application if possible), fertilizer application</w:t>
      </w:r>
      <w:r w:rsidR="007C29A8">
        <w:t xml:space="preserve"> (early/mid May)</w:t>
      </w:r>
    </w:p>
    <w:p w14:paraId="57F1A16F" w14:textId="5C1A5B8B" w:rsidR="00506A47" w:rsidRDefault="00506A47">
      <w:r>
        <w:t>Year 3:</w:t>
      </w:r>
      <w:r w:rsidR="00E40848">
        <w:t xml:space="preserve"> fertilizer application (little-none required after establishment period)</w:t>
      </w:r>
    </w:p>
    <w:p w14:paraId="6B5FB111" w14:textId="4978BF26" w:rsidR="00506A47" w:rsidRDefault="00B9707F" w:rsidP="007C29A8">
      <w:r>
        <w:t>Years 4-</w:t>
      </w:r>
      <w:r w:rsidR="00903D2D">
        <w:t>9</w:t>
      </w:r>
      <w:r w:rsidR="007C29A8">
        <w:t>: harvest annually in late October (no kill)</w:t>
      </w:r>
    </w:p>
    <w:p w14:paraId="09AAE6B8" w14:textId="10DD58CA" w:rsidR="00903D2D" w:rsidRDefault="00903D2D" w:rsidP="007C29A8">
      <w:r>
        <w:t>Year 10: harvest and kill (MGT_OP = 5).</w:t>
      </w:r>
    </w:p>
    <w:p w14:paraId="1A2A3064" w14:textId="77777777" w:rsidR="001D3057" w:rsidRDefault="001D3057" w:rsidP="007C29A8"/>
    <w:p w14:paraId="13B511A1" w14:textId="4275B6D2" w:rsidR="001D3057" w:rsidRDefault="001D3057" w:rsidP="007C29A8">
      <w:r>
        <w:t>VERSION 2:</w:t>
      </w:r>
    </w:p>
    <w:p w14:paraId="2FF85589" w14:textId="77777777" w:rsidR="001D3057" w:rsidRPr="003B05B3" w:rsidRDefault="001D3057" w:rsidP="001D3057">
      <w:pPr>
        <w:rPr>
          <w:u w:val="single"/>
        </w:rPr>
      </w:pPr>
      <w:r w:rsidRPr="003B05B3">
        <w:rPr>
          <w:u w:val="single"/>
        </w:rPr>
        <w:t>Management schedule: 10 years of rotation</w:t>
      </w:r>
    </w:p>
    <w:p w14:paraId="64F63113" w14:textId="4E5DB832" w:rsidR="001D3057" w:rsidRDefault="001D3057" w:rsidP="001D3057">
      <w:r>
        <w:t>Year 1: planting in early May (in Midwest)</w:t>
      </w:r>
    </w:p>
    <w:p w14:paraId="53C58A9B" w14:textId="77777777" w:rsidR="001D3057" w:rsidRDefault="001D3057" w:rsidP="001D3057">
      <w:r>
        <w:t>Year 2: (herbicide application if possible), fertilizer application (early/mid May)</w:t>
      </w:r>
    </w:p>
    <w:p w14:paraId="5C633AF1" w14:textId="77777777" w:rsidR="001D3057" w:rsidRDefault="001D3057" w:rsidP="001D3057">
      <w:r>
        <w:t>Year 3: fertilizer application (little-none required after establishment period)</w:t>
      </w:r>
    </w:p>
    <w:p w14:paraId="65D91933" w14:textId="77777777" w:rsidR="001D3057" w:rsidRDefault="001D3057" w:rsidP="001D3057">
      <w:r>
        <w:t>Years 4-9: harvest annually in late October (no kill)</w:t>
      </w:r>
    </w:p>
    <w:p w14:paraId="54A897B6" w14:textId="77777777" w:rsidR="001D3057" w:rsidRDefault="001D3057" w:rsidP="001D3057">
      <w:r>
        <w:t>Year 10: harvest and kill (MGT_OP = 5).</w:t>
      </w:r>
    </w:p>
    <w:p w14:paraId="6DF375BA" w14:textId="77777777" w:rsidR="001D3057" w:rsidRDefault="001D3057" w:rsidP="007C29A8"/>
    <w:p w14:paraId="398E6044" w14:textId="12298EAE" w:rsidR="00A556F8" w:rsidRDefault="00A556F8" w:rsidP="007C29A8">
      <w:r w:rsidRPr="00A556F8">
        <w:rPr>
          <w:noProof/>
        </w:rPr>
        <w:lastRenderedPageBreak/>
        <w:drawing>
          <wp:inline distT="0" distB="0" distL="0" distR="0" wp14:anchorId="5F535558" wp14:editId="3EEA6A47">
            <wp:extent cx="5943600" cy="4979670"/>
            <wp:effectExtent l="0" t="0" r="0" b="0"/>
            <wp:docPr id="1911738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3851" name="Picture 1" descr="A screenshot of a computer screen&#10;&#10;Description automatically generated"/>
                    <pic:cNvPicPr/>
                  </pic:nvPicPr>
                  <pic:blipFill rotWithShape="1">
                    <a:blip r:embed="rId10"/>
                    <a:srcRect t="381" b="1"/>
                    <a:stretch/>
                  </pic:blipFill>
                  <pic:spPr bwMode="auto">
                    <a:xfrm>
                      <a:off x="0" y="0"/>
                      <a:ext cx="5943600" cy="4979670"/>
                    </a:xfrm>
                    <a:prstGeom prst="rect">
                      <a:avLst/>
                    </a:prstGeom>
                    <a:ln>
                      <a:noFill/>
                    </a:ln>
                    <a:extLst>
                      <a:ext uri="{53640926-AAD7-44D8-BBD7-CCE9431645EC}">
                        <a14:shadowObscured xmlns:a14="http://schemas.microsoft.com/office/drawing/2010/main"/>
                      </a:ext>
                    </a:extLst>
                  </pic:spPr>
                </pic:pic>
              </a:graphicData>
            </a:graphic>
          </wp:inline>
        </w:drawing>
      </w:r>
    </w:p>
    <w:sectPr w:rsidR="00A556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lub, Emma" w:date="2024-01-30T14:19:00Z" w:initials="GE">
    <w:p w14:paraId="2087C762" w14:textId="77777777" w:rsidR="00116B69" w:rsidRDefault="00116B69" w:rsidP="009B193C">
      <w:pPr>
        <w:pStyle w:val="CommentText"/>
      </w:pPr>
      <w:r>
        <w:rPr>
          <w:rStyle w:val="CommentReference"/>
        </w:rPr>
        <w:annotationRef/>
      </w:r>
      <w:r>
        <w:rPr>
          <w:i/>
          <w:iCs/>
          <w:color w:val="000000"/>
          <w:highlight w:val="white"/>
        </w:rPr>
        <w:t>Miscanthus</w:t>
      </w:r>
      <w:r>
        <w:rPr>
          <w:color w:val="000000"/>
          <w:highlight w:val="white"/>
        </w:rPr>
        <w:t> and switchgrass were represented in the model as multi-year crop rotations with planting on year one and base temperature guided emergence from dormancy from year two, which often occurred in March/April. Crop management practices included urea application of 56 kg N ha</w:t>
      </w:r>
      <w:r>
        <w:t>−1</w:t>
      </w:r>
      <w:r>
        <w:rPr>
          <w:color w:val="000000"/>
          <w:highlight w:val="white"/>
        </w:rPr>
        <w:t> in early-May and harvest on October 31. The parameter regulating the rate of humus mineralization (CMN) was input as 0.003 to account for high rate of mineralization expected in WQFS soils. Average organic matter content of soils at the study site tested at 4.5%. Rapid mineralization was also implied by measured annual N uptake for </w:t>
      </w:r>
      <w:r>
        <w:rPr>
          <w:i/>
          <w:iCs/>
          <w:color w:val="000000"/>
          <w:highlight w:val="white"/>
        </w:rPr>
        <w:t>Miscanthus</w:t>
      </w:r>
      <w:r>
        <w:rPr>
          <w:color w:val="000000"/>
          <w:highlight w:val="white"/>
        </w:rPr>
        <w:t> during the study period, which was greater than N application rate. Total N content for aboveground biomass was 150 kg N ha</w:t>
      </w:r>
      <w:r>
        <w:t>−1</w:t>
      </w:r>
      <w:r>
        <w:rPr>
          <w:color w:val="000000"/>
          <w:highlight w:val="white"/>
        </w:rPr>
        <w:t> for samples collected in August (averaged over 2-years). The difference in N was assumed to come from mineralization of soil organic N and crop residue. Runoff curve numbers for switchgrass and </w:t>
      </w:r>
      <w:r>
        <w:rPr>
          <w:i/>
          <w:iCs/>
          <w:color w:val="000000"/>
          <w:highlight w:val="white"/>
        </w:rPr>
        <w:t>Miscanthus</w:t>
      </w:r>
      <w:r>
        <w:rPr>
          <w:color w:val="000000"/>
          <w:highlight w:val="white"/>
        </w:rPr>
        <w:t> were assumed to be the same as other PRGs in the crop database: 31, 59, 72, and 79 for soil hydrologic groups A, B, C, and D, respectively.</w:t>
      </w:r>
      <w:r>
        <w:t xml:space="preserve"> </w:t>
      </w:r>
      <w:r>
        <w:br/>
        <w:t>(Trybula et al., 2014)</w:t>
      </w:r>
    </w:p>
  </w:comment>
  <w:comment w:id="1" w:author="Golub, Emma" w:date="2024-03-05T12:04:00Z" w:initials="GE">
    <w:p w14:paraId="738AD709" w14:textId="77777777" w:rsidR="00CB0B23" w:rsidRDefault="00CB0B23" w:rsidP="003C39D3">
      <w:pPr>
        <w:pStyle w:val="CommentText"/>
      </w:pPr>
      <w:r>
        <w:rPr>
          <w:rStyle w:val="CommentReference"/>
        </w:rPr>
        <w:annotationRef/>
      </w:r>
      <w:r>
        <w:t>But maybe this should just be 0.00 based on Sundar's miscanthus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7C762" w15:done="0"/>
  <w15:commentEx w15:paraId="738AD7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638408" w16cex:dateUtc="2024-01-30T20:19:00Z"/>
  <w16cex:commentExtensible w16cex:durableId="299188D5" w16cex:dateUtc="2024-03-05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7C762" w16cid:durableId="29638408"/>
  <w16cid:commentId w16cid:paraId="738AD709" w16cid:durableId="299188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lub, Emma">
    <w15:presenceInfo w15:providerId="AD" w15:userId="S::egolub2@illinois.edu::0cd9ed61-c101-4d75-ae2f-cc65f1067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5DE6"/>
    <w:rsid w:val="000223BC"/>
    <w:rsid w:val="00065A7B"/>
    <w:rsid w:val="000713C6"/>
    <w:rsid w:val="000A4181"/>
    <w:rsid w:val="000F266E"/>
    <w:rsid w:val="001005BE"/>
    <w:rsid w:val="001033CE"/>
    <w:rsid w:val="0010368F"/>
    <w:rsid w:val="00113F7C"/>
    <w:rsid w:val="00116B69"/>
    <w:rsid w:val="00117F3A"/>
    <w:rsid w:val="001277AF"/>
    <w:rsid w:val="0016121E"/>
    <w:rsid w:val="001648D0"/>
    <w:rsid w:val="001B1630"/>
    <w:rsid w:val="001B531E"/>
    <w:rsid w:val="001B6F72"/>
    <w:rsid w:val="001D3057"/>
    <w:rsid w:val="001E75C4"/>
    <w:rsid w:val="002118B6"/>
    <w:rsid w:val="00235DE6"/>
    <w:rsid w:val="002448EC"/>
    <w:rsid w:val="00281112"/>
    <w:rsid w:val="00293C15"/>
    <w:rsid w:val="002951BB"/>
    <w:rsid w:val="002C4D00"/>
    <w:rsid w:val="002D3298"/>
    <w:rsid w:val="002E1D63"/>
    <w:rsid w:val="0032041D"/>
    <w:rsid w:val="003B05B3"/>
    <w:rsid w:val="003C39D3"/>
    <w:rsid w:val="003C457D"/>
    <w:rsid w:val="003C6881"/>
    <w:rsid w:val="003D14E0"/>
    <w:rsid w:val="003E4116"/>
    <w:rsid w:val="003E5DA0"/>
    <w:rsid w:val="003F67EA"/>
    <w:rsid w:val="0040764C"/>
    <w:rsid w:val="0045269C"/>
    <w:rsid w:val="0045784F"/>
    <w:rsid w:val="004644D7"/>
    <w:rsid w:val="004823DA"/>
    <w:rsid w:val="00482A6D"/>
    <w:rsid w:val="004B2E4C"/>
    <w:rsid w:val="004D03D4"/>
    <w:rsid w:val="004E60FE"/>
    <w:rsid w:val="004F0E0E"/>
    <w:rsid w:val="004F52D8"/>
    <w:rsid w:val="00506A47"/>
    <w:rsid w:val="0052549E"/>
    <w:rsid w:val="00527313"/>
    <w:rsid w:val="00576F15"/>
    <w:rsid w:val="005960D0"/>
    <w:rsid w:val="005A19EF"/>
    <w:rsid w:val="005C326A"/>
    <w:rsid w:val="005D743D"/>
    <w:rsid w:val="00600ED2"/>
    <w:rsid w:val="00630577"/>
    <w:rsid w:val="006F0551"/>
    <w:rsid w:val="006F174A"/>
    <w:rsid w:val="006F6885"/>
    <w:rsid w:val="006F7342"/>
    <w:rsid w:val="00756A68"/>
    <w:rsid w:val="0075711B"/>
    <w:rsid w:val="0078205F"/>
    <w:rsid w:val="007A435D"/>
    <w:rsid w:val="007B3C7E"/>
    <w:rsid w:val="007C29A8"/>
    <w:rsid w:val="007D2827"/>
    <w:rsid w:val="008211F3"/>
    <w:rsid w:val="00845C91"/>
    <w:rsid w:val="00886C5E"/>
    <w:rsid w:val="008C799E"/>
    <w:rsid w:val="008E5E44"/>
    <w:rsid w:val="00900AA3"/>
    <w:rsid w:val="00903D2D"/>
    <w:rsid w:val="0090563C"/>
    <w:rsid w:val="00975EDD"/>
    <w:rsid w:val="00991153"/>
    <w:rsid w:val="009919C8"/>
    <w:rsid w:val="009A6B0F"/>
    <w:rsid w:val="009B0235"/>
    <w:rsid w:val="009B193C"/>
    <w:rsid w:val="009D4C8A"/>
    <w:rsid w:val="009D59D2"/>
    <w:rsid w:val="009E3F76"/>
    <w:rsid w:val="009E58B8"/>
    <w:rsid w:val="00A13EFD"/>
    <w:rsid w:val="00A14349"/>
    <w:rsid w:val="00A40B34"/>
    <w:rsid w:val="00A43928"/>
    <w:rsid w:val="00A556F8"/>
    <w:rsid w:val="00A70944"/>
    <w:rsid w:val="00A70B09"/>
    <w:rsid w:val="00AD272E"/>
    <w:rsid w:val="00AE51CA"/>
    <w:rsid w:val="00B11541"/>
    <w:rsid w:val="00B32DE9"/>
    <w:rsid w:val="00B4525D"/>
    <w:rsid w:val="00B55991"/>
    <w:rsid w:val="00B701DE"/>
    <w:rsid w:val="00B70810"/>
    <w:rsid w:val="00B81246"/>
    <w:rsid w:val="00B90200"/>
    <w:rsid w:val="00B9707F"/>
    <w:rsid w:val="00BA1021"/>
    <w:rsid w:val="00BC469A"/>
    <w:rsid w:val="00BD48B2"/>
    <w:rsid w:val="00BE1D66"/>
    <w:rsid w:val="00C01062"/>
    <w:rsid w:val="00C03B14"/>
    <w:rsid w:val="00C3199F"/>
    <w:rsid w:val="00C5503A"/>
    <w:rsid w:val="00CB0B23"/>
    <w:rsid w:val="00D05AB4"/>
    <w:rsid w:val="00DA4C62"/>
    <w:rsid w:val="00DD395D"/>
    <w:rsid w:val="00E20704"/>
    <w:rsid w:val="00E21863"/>
    <w:rsid w:val="00E27F5C"/>
    <w:rsid w:val="00E40848"/>
    <w:rsid w:val="00E41837"/>
    <w:rsid w:val="00E44E6B"/>
    <w:rsid w:val="00EA16AD"/>
    <w:rsid w:val="00EA386B"/>
    <w:rsid w:val="00EC115F"/>
    <w:rsid w:val="00EE56CE"/>
    <w:rsid w:val="00EE7B52"/>
    <w:rsid w:val="00EF5145"/>
    <w:rsid w:val="00F16C69"/>
    <w:rsid w:val="00F33023"/>
    <w:rsid w:val="00F40E57"/>
    <w:rsid w:val="00F7259D"/>
    <w:rsid w:val="00F757E0"/>
    <w:rsid w:val="00F778F3"/>
    <w:rsid w:val="00F80C46"/>
    <w:rsid w:val="00F8241D"/>
    <w:rsid w:val="00F839F7"/>
    <w:rsid w:val="00F932C8"/>
    <w:rsid w:val="00F96249"/>
    <w:rsid w:val="00FB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85E3"/>
  <w15:docId w15:val="{A2FD8CC6-A5E3-41F4-8C3E-73571D9F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6B69"/>
    <w:rPr>
      <w:sz w:val="16"/>
      <w:szCs w:val="16"/>
    </w:rPr>
  </w:style>
  <w:style w:type="paragraph" w:styleId="CommentText">
    <w:name w:val="annotation text"/>
    <w:basedOn w:val="Normal"/>
    <w:link w:val="CommentTextChar"/>
    <w:uiPriority w:val="99"/>
    <w:unhideWhenUsed/>
    <w:rsid w:val="00116B69"/>
    <w:pPr>
      <w:spacing w:line="240" w:lineRule="auto"/>
    </w:pPr>
    <w:rPr>
      <w:sz w:val="20"/>
      <w:szCs w:val="20"/>
    </w:rPr>
  </w:style>
  <w:style w:type="character" w:customStyle="1" w:styleId="CommentTextChar">
    <w:name w:val="Comment Text Char"/>
    <w:basedOn w:val="DefaultParagraphFont"/>
    <w:link w:val="CommentText"/>
    <w:uiPriority w:val="99"/>
    <w:rsid w:val="00116B69"/>
    <w:rPr>
      <w:sz w:val="20"/>
      <w:szCs w:val="20"/>
    </w:rPr>
  </w:style>
  <w:style w:type="paragraph" w:styleId="CommentSubject">
    <w:name w:val="annotation subject"/>
    <w:basedOn w:val="CommentText"/>
    <w:next w:val="CommentText"/>
    <w:link w:val="CommentSubjectChar"/>
    <w:uiPriority w:val="99"/>
    <w:semiHidden/>
    <w:unhideWhenUsed/>
    <w:rsid w:val="00116B69"/>
    <w:rPr>
      <w:b/>
      <w:bCs/>
    </w:rPr>
  </w:style>
  <w:style w:type="character" w:customStyle="1" w:styleId="CommentSubjectChar">
    <w:name w:val="Comment Subject Char"/>
    <w:basedOn w:val="CommentTextChar"/>
    <w:link w:val="CommentSubject"/>
    <w:uiPriority w:val="99"/>
    <w:semiHidden/>
    <w:rsid w:val="00116B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40322</TotalTime>
  <Pages>7</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Golub, Emma</dc:creator>
  <cp:keywords/>
  <dc:description/>
  <cp:lastModifiedBy>Golub, Emma</cp:lastModifiedBy>
  <cp:revision>1</cp:revision>
  <dcterms:created xsi:type="dcterms:W3CDTF">2024-01-30T17:43:00Z</dcterms:created>
  <dcterms:modified xsi:type="dcterms:W3CDTF">2024-03-19T21:48:00Z</dcterms:modified>
</cp:coreProperties>
</file>