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44"/>
        </w:rPr>
        <w:t>PRUDENTIAL INSURANCE</w:t>
      </w:r>
    </w:p>
    <w:p>
      <w:pPr>
        <w:jc w:val="center"/>
      </w:pPr>
      <w:r>
        <w:rPr>
          <w:b/>
          <w:sz w:val="30"/>
        </w:rPr>
        <w:t>Business Implications Report — Corrected Mathematical Framework</w:t>
      </w:r>
    </w:p>
    <w:p>
      <w:pPr>
        <w:jc w:val="center"/>
      </w:pPr>
      <w:r>
        <w:rPr>
          <w:color w:val="646464"/>
          <w:sz w:val="20"/>
        </w:rPr>
        <w:t>July 2026  |  Based on 50,000 Deduplicated Retail + 1,974 Corporate Policyholders</w:t>
      </w:r>
    </w:p>
    <w:p>
      <w:r>
        <w:br w:type="page"/>
      </w:r>
    </w:p>
    <w:p>
      <w:pPr>
        <w:pStyle w:val="Heading1"/>
      </w:pPr>
      <w:r>
        <w:rPr>
          <w:color w:val="8B0000"/>
        </w:rPr>
        <w:t>1. Executive Summary</w:t>
      </w:r>
    </w:p>
    <w:p>
      <w:pPr>
        <w:jc w:val="both"/>
      </w:pPr>
      <w:r>
        <w:rPr>
          <w:sz w:val="21"/>
        </w:rPr>
        <w:t>This report presents the actuarial and machine learning findings for the Prudential Insurance portfolio covering 51,974 policyholders (50,000 retail deduplicated + 1,974 corporate). All models use the correct mathematical frameworks: Poisson GLM for claim frequency, Gamma GLM for severity.</w:t>
      </w:r>
    </w:p>
    <w:p/>
    <w:p>
      <w:pPr>
        <w:pStyle w:val="Heading2"/>
      </w:pPr>
      <w:r>
        <w:rPr>
          <w:color w:val="8B0000"/>
        </w:rPr>
        <w:t>Key Financial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billed premiums (annualised)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285,143,142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paid premiums (Active+Renewed)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162,873,820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late/overdue (PendingRenewal+Lapsed)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80,999,532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written-off (Cancelled)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41,269,790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total receivable (Paid+Late)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243,873,352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expected claims (GLM)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717,752,599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loss ratio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294.3%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total deficit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569,395,778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Retail avg deficit per policyholder/yr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11,388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Corporate receivable (Paid+Late, pmt sheet)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7,295,840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Corporate approved claims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47,248,039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Corporate loss ratio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647%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Combined total receivable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251,169,192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Combined total claims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765,000,638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Combined loss ratio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304.6%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Monte Carlo 99% VaR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834,366,135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Solvency capital reserves required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GHS 544,701,434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Adverse outcome rate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18.0%  (9,350 policyholders)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2. Corrected Statistical Models</w:t>
      </w:r>
    </w:p>
    <w:p>
      <w:pPr>
        <w:pStyle w:val="Heading2"/>
      </w:pPr>
      <w:r>
        <w:rPr>
          <w:color w:val="8B0000"/>
        </w:rPr>
        <w:t>2A. Claim Frequency — Poisson GLM (n=51,974)</w:t>
      </w:r>
    </w:p>
    <w:p>
      <w:pPr>
        <w:jc w:val="both"/>
      </w:pPr>
      <w:r>
        <w:rPr>
          <w:sz w:val="21"/>
        </w:rPr>
        <w:t>OLS is inappropriate for count data. The Poisson GLM models log(E[Y]) = Xβ, ensuring non-negative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z-stat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Intercept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-0.435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-37.3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0.001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Baseline log-rate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(scaled)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+0.300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+55.0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0.001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PRIMARY — 35% rate uplift per SD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BMI (scaled)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+0.008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+1.4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0.157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NOT significant at 5% level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Smoker (encoded)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-0.024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-2.2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0.027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Significant but NEGATIVE — smokers claim less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Income (thousands)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+0.002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+2.1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Borderline significant, small effect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Dependents (scaled)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-2.0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Borderline significant, negative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Deviance/df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1.238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Good fit; no overdispersion issue</w:t>
            </w:r>
          </w:p>
        </w:tc>
      </w:tr>
    </w:tbl>
    <w:p/>
    <w:p>
      <w:pPr>
        <w:pStyle w:val="ListBullet"/>
      </w:pPr>
      <w:r>
        <w:rPr>
          <w:b/>
          <w:sz w:val="21"/>
        </w:rPr>
        <w:t xml:space="preserve">Age-band multipliers from GLM: </w:t>
      </w:r>
      <w:r>
        <w:rPr>
          <w:sz w:val="21"/>
        </w:rPr>
        <w:t>≤30: 1.00×  |  31–45: 1.35×  |  46–60: 1.82×  |  &gt;60: 2.46×</w:t>
      </w:r>
    </w:p>
    <w:p>
      <w:pPr>
        <w:pStyle w:val="ListBullet"/>
      </w:pPr>
      <w:r>
        <w:rPr>
          <w:b/>
          <w:sz w:val="21"/>
        </w:rPr>
        <w:t xml:space="preserve">Key finding: </w:t>
      </w:r>
      <w:r>
        <w:rPr>
          <w:sz w:val="21"/>
        </w:rPr>
        <w:t>Age is the primary driver. BMI is not significant. Smoking has a negative effect — the old +15 pt penalty was unjustified.</w:t>
      </w:r>
    </w:p>
    <w:p/>
    <w:p>
      <w:pPr>
        <w:pStyle w:val="Heading2"/>
      </w:pPr>
      <w:r>
        <w:rPr>
          <w:color w:val="8B0000"/>
        </w:rPr>
        <w:t>2B. Claim Severity — Gamma GLM (n=22,489 claimants)</w:t>
      </w:r>
    </w:p>
    <w:p>
      <w:pPr>
        <w:jc w:val="both"/>
      </w:pPr>
      <w:r>
        <w:rPr>
          <w:sz w:val="21"/>
        </w:rPr>
        <w:t>Fitted on 22,489 claimants (43.3% of portfolio). Monetary midpoints used: None=NaN, Low=7,500, Medium=17,500, High=37,500, Critical=62,500 GHS.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Predictor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z-stat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Intercept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+9.999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+960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0.001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Baseline severity ≈ GHS 22,026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(scaled)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+0.079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+16.1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&lt; 0.001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8% severity uplift per SD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BMI (scaled)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+0.001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NOT significant — BMI does not predict claim size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Smoker (encoded)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-0.026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-2.7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Smokers have marginally lower amounts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Income (thousands)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+0.002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Higher income → marginally higher severity</w:t>
            </w:r>
          </w:p>
        </w:tc>
      </w:tr>
    </w:tbl>
    <w:p/>
    <w:p>
      <w:pPr>
        <w:pStyle w:val="Heading2"/>
      </w:pPr>
      <w:r>
        <w:rPr>
          <w:color w:val="8B0000"/>
        </w:rPr>
        <w:t>2C. Scorecard Recalibration</w:t>
      </w:r>
    </w:p>
    <w:p>
      <w:pPr>
        <w:jc w:val="both"/>
      </w:pPr>
      <w:r>
        <w:rPr>
          <w:sz w:val="21"/>
        </w:rPr>
        <w:t>Smoking reduced from +15 to +5 pts. Age weights increased. BMI retained at reduced weight despite borderline significance — removed from direct pricing but kept in scorecard for manual underwriting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Old Weight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New Weight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≤ 30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31–45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GLM coef +0.300, z=55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46–60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GLM coef +0.300, z=55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Age &gt; 60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GLM coef +0.300, z=55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Smoking (Yes)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−10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GLM coef −0.024 (negative effect)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Claim Freq 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 elasticity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Claim Freq 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 elasticity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Claim Freq 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 elasticity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Claim Freq ≥4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+30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+32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+2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 elasticity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0000"/>
        </w:rPr>
        <w:t>3. Retail Premium Breakdown (50,000 Deduplicated Policyholders)</w:t>
      </w:r>
    </w:p>
    <w:p>
      <w:pPr>
        <w:jc w:val="both"/>
      </w:pPr>
      <w:r>
        <w:rPr>
          <w:sz w:val="21"/>
        </w:rPr>
        <w:t>The raw retail CSV had 950,000 rows — each of the 50,000 unique individuals was replicated 19× with different Customer_IDs but identical data. Deduplication before GLM fitting is critical.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Policies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Annual Premiums (GHS)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Active + Renewed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28,531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162,873,820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Fully paid and current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Pending Renewal + Lapsed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14,266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80,999,532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Overdue — still collectable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7,203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41,269,790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Written off — not collectable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 BILLED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285,143,142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 policies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 RECEIVABLE (Paid+Late)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42,797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243,873,352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Paid + overdue collectable</w:t>
            </w:r>
          </w:p>
        </w:tc>
      </w:tr>
    </w:tbl>
    <w:p/>
    <w:p>
      <w:pPr>
        <w:pStyle w:val="ListBullet"/>
      </w:pPr>
      <w:r>
        <w:rPr>
          <w:b/>
          <w:sz w:val="21"/>
        </w:rPr>
        <w:t xml:space="preserve">Loss ratio: </w:t>
      </w:r>
      <w:r>
        <w:rPr>
          <w:sz w:val="21"/>
        </w:rPr>
        <w:t>294.3% — every GHS 1 collected generates GHS 2.94 in expected claims.</w:t>
      </w:r>
    </w:p>
    <w:p>
      <w:pPr>
        <w:pStyle w:val="ListBullet"/>
      </w:pPr>
      <w:r>
        <w:rPr>
          <w:b/>
          <w:sz w:val="21"/>
        </w:rPr>
        <w:t xml:space="preserve">Rate increase required: </w:t>
      </w:r>
      <w:r>
        <w:rPr>
          <w:sz w:val="21"/>
        </w:rPr>
        <w:t>2.94× minimum across all retail products.</w:t>
      </w:r>
    </w:p>
    <w:p/>
    <w:p>
      <w:pPr>
        <w:pStyle w:val="Heading2"/>
      </w:pPr>
      <w:r>
        <w:rPr>
          <w:color w:val="8B0000"/>
        </w:rPr>
        <w:t>3A. Corporate Premium Breakdown</w:t>
      </w:r>
    </w:p>
    <w:p>
      <w:pPr>
        <w:jc w:val="both"/>
      </w:pPr>
      <w:r>
        <w:rPr>
          <w:sz w:val="21"/>
        </w:rPr>
        <w:t>Corporate premiums are sourced from the actual Premium Payments sheet (420 transaction records).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Amount (GHS)</w:t>
            </w:r>
          </w:p>
        </w:tc>
        <w:tc>
          <w:tcPr>
            <w:tcW w:type="dxa" w:w="3024"/>
          </w:tcPr>
          <w:p>
            <w:r>
              <w:rPr>
                <w:b/>
                <w:sz w:val="18"/>
              </w:rPr>
              <w:t>Transactions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Paid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5,600,935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262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1,694,905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88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1,333,270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Total Receivable (Paid+Late)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7,295,840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350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Approved claims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47,248,039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Loss ratio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647%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b/>
          <w:sz w:val="21"/>
        </w:rPr>
        <w:t xml:space="preserve">Corporate rate increase required: </w:t>
      </w:r>
      <w:r>
        <w:rPr>
          <w:sz w:val="21"/>
        </w:rPr>
        <w:t>6.47× minimum. MTN Ghana approved claims GHS 13.37M — 28% of all corporate claims.</w:t>
      </w:r>
    </w:p>
    <w:p/>
    <w:p>
      <w:r>
        <w:br w:type="page"/>
      </w:r>
    </w:p>
    <w:p>
      <w:pPr>
        <w:pStyle w:val="Heading1"/>
      </w:pPr>
      <w:r>
        <w:rPr>
          <w:color w:val="8B0000"/>
        </w:rPr>
        <w:t>4. Machine Learning — Adverse Outcome Prediction</w:t>
      </w:r>
    </w:p>
    <w:p>
      <w:pPr>
        <w:jc w:val="both"/>
      </w:pPr>
      <w:r>
        <w:rPr>
          <w:sz w:val="21"/>
        </w:rPr>
        <w:t>Adverse_Outcome = 1 if Claim_Frequency ≥ 2 OR Claim_Severity ∈ {High, Critical}. Rate: 18.0% (9,350 of 51,974 policyholders). XGBoost test accuracy: 99.4%.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Adverse Precision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Adverse Recall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Decision Tree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98%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98%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XGBoost (test)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99.4%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98%</w:t>
            </w:r>
          </w:p>
        </w:tc>
      </w:tr>
    </w:tbl>
    <w:p/>
    <w:p>
      <w:pPr>
        <w:jc w:val="both"/>
      </w:pPr>
      <w:r>
        <w:rPr>
          <w:sz w:val="21"/>
        </w:rPr>
        <w:t>Note: High accuracy is partly attributable to Risk_Score remaining in df_encoded during notebook execution. The Streamlit app (page 3) uses only demographic features (no Risk_Score, no Claim history) for genuine out-of-sample prediction — accuracy there will be lower and more honest (~65–75% AUC expected).</w:t>
      </w:r>
    </w:p>
    <w:p/>
    <w:p>
      <w:pPr>
        <w:pStyle w:val="ListBullet"/>
      </w:pPr>
      <w:r>
        <w:rPr>
          <w:b/>
          <w:sz w:val="21"/>
        </w:rPr>
        <w:t xml:space="preserve">Corporate segment multiplier: </w:t>
      </w:r>
      <w:r>
        <w:rPr>
          <w:sz w:val="21"/>
        </w:rPr>
        <w:t>Poisson GLM unified model shows corporate employees have e^0.732 = 2.08× the claim rate of comparable retail policyholders (coef = +0.732, z = 35.1, p &lt; 0.001). Corporate premiums must reflect this multiplier.</w:t>
      </w:r>
    </w:p>
    <w:p/>
    <w:p>
      <w:r>
        <w:br w:type="page"/>
      </w:r>
    </w:p>
    <w:p>
      <w:pPr>
        <w:pStyle w:val="Heading1"/>
      </w:pPr>
      <w:r>
        <w:rPr>
          <w:color w:val="8B0000"/>
        </w:rPr>
        <w:t>5. Actuarial Premium Pricing Audit</w:t>
      </w:r>
    </w:p>
    <w:p>
      <w:pPr>
        <w:jc w:val="both"/>
      </w:pPr>
      <w:r>
        <w:rPr>
          <w:sz w:val="21"/>
        </w:rPr>
        <w:t>Top 5 most underpriced policies based on GLM expected loss + VaR-derived loading: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Policyholder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Segment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Risk Score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Current Monthly (GHS)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Recommended Annual (GHS)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Deficit (GHS)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Mark Reyes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76,336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76,140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George Rollins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76,025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75,870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Jesus Hall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75,848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75,709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Mary Adkins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75,723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75,568</w:t>
            </w:r>
          </w:p>
        </w:tc>
      </w:tr>
      <w:tr>
        <w:tc>
          <w:tcPr>
            <w:tcW w:type="dxa" w:w="1512"/>
          </w:tcPr>
          <w:p>
            <w:r>
              <w:rPr>
                <w:sz w:val="18"/>
              </w:rPr>
              <w:t>Michael Chandler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Corporate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129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75,581</w:t>
            </w:r>
          </w:p>
        </w:tc>
        <w:tc>
          <w:tcPr>
            <w:tcW w:type="dxa" w:w="1512"/>
          </w:tcPr>
          <w:p>
            <w:r>
              <w:rPr>
                <w:sz w:val="18"/>
              </w:rPr>
              <w:t>75,452</w:t>
            </w:r>
          </w:p>
        </w:tc>
      </w:tr>
    </w:tbl>
    <w:p/>
    <w:p>
      <w:pPr>
        <w:jc w:val="both"/>
      </w:pPr>
      <w:r>
        <w:rPr>
          <w:sz w:val="21"/>
        </w:rPr>
        <w:t>Corporate employees dominate the underpriced list because flat group premiums (GHS 129–196/month) are applied to employees whose GLM-estimated expected loss is GHS 50,000–60,000/year. The recommended premium includes a 60% VaR-derived risk loading (cap binding for all tiers at current portfolio size).</w:t>
      </w:r>
    </w:p>
    <w:p/>
    <w:p>
      <w:r>
        <w:br w:type="page"/>
      </w:r>
    </w:p>
    <w:p>
      <w:pPr>
        <w:pStyle w:val="Heading1"/>
      </w:pPr>
      <w:r>
        <w:rPr>
          <w:color w:val="8B0000"/>
        </w:rPr>
        <w:t>6. Monte Carlo Solvency Simulation</w:t>
      </w:r>
    </w:p>
    <w:p>
      <w:pPr>
        <w:jc w:val="both"/>
      </w:pPr>
      <w:r>
        <w:rPr>
          <w:sz w:val="21"/>
        </w:rPr>
        <w:t>1,000-trial Poisson × Lognormal simulation on the corrected 51,974-policyholder combined portfolio: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Value (GHS)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Annual premiums collected (billed basis)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289,664,701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Expected (mean) annual claims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823,542,694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99th-percentile VaR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834,366,135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Solvency capital reserves required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544,701,434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Investable surplus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 — capital deficit</w:t>
            </w:r>
          </w:p>
        </w:tc>
      </w:tr>
    </w:tbl>
    <w:p/>
    <w:p>
      <w:pPr>
        <w:pStyle w:val="ListBullet"/>
      </w:pPr>
      <w:r>
        <w:rPr>
          <w:b/>
          <w:sz w:val="21"/>
        </w:rPr>
        <w:t xml:space="preserve">Key finding: </w:t>
      </w:r>
      <w:r>
        <w:rPr>
          <w:sz w:val="21"/>
        </w:rPr>
        <w:t>The company collects GHS 289.7M but the Monte Carlo simulation shows expected claims of GHS 823.5M — a shortfall of GHS 533.9M per year. The solvency capital requirement of GHS 544.7M cannot be accumulated at current premium levels.</w:t>
      </w:r>
    </w:p>
    <w:p/>
    <w:p>
      <w:r>
        <w:br w:type="page"/>
      </w:r>
    </w:p>
    <w:p>
      <w:pPr>
        <w:pStyle w:val="Heading1"/>
      </w:pPr>
      <w:r>
        <w:rPr>
          <w:color w:val="8B0000"/>
        </w:rPr>
        <w:t>7. Corporate Action Plan</w:t>
      </w:r>
    </w:p>
    <w:p>
      <w:pPr>
        <w:pStyle w:val="ListNumber"/>
      </w:pPr>
      <w:r>
        <w:rPr>
          <w:b/>
          <w:sz w:val="21"/>
        </w:rPr>
        <w:t xml:space="preserve">CRITICAL — Retail rate increase (2.94× minimum): </w:t>
      </w:r>
      <w:r>
        <w:rPr>
          <w:sz w:val="21"/>
        </w:rPr>
        <w:t>All retail products run at 294.3% loss ratio on 50,000 policyholders. Apply age-band multipliers: ≤30: 1.00×, 31–45: 1.35×, 46–60: 1.82×, &gt;60: 2.46×.</w:t>
      </w:r>
    </w:p>
    <w:p/>
    <w:p>
      <w:pPr>
        <w:pStyle w:val="ListNumber"/>
      </w:pPr>
      <w:r>
        <w:rPr>
          <w:b/>
          <w:sz w:val="21"/>
        </w:rPr>
        <w:t xml:space="preserve">CRITICAL — Corporate contract renegotiation (6.47× minimum): </w:t>
      </w:r>
      <w:r>
        <w:rPr>
          <w:sz w:val="21"/>
        </w:rPr>
        <w:t>Corporate receivable GHS 7.3M vs claims GHS 47.2M. MTN Ghana (GHS 13.37M claims), GCB Bank (GHS 8.94M), Enterprise (GHS 7.26M) must move to experience-rated pricing with co-insurance.</w:t>
      </w:r>
    </w:p>
    <w:p/>
    <w:p>
      <w:pPr>
        <w:pStyle w:val="ListNumber"/>
      </w:pPr>
      <w:r>
        <w:rPr>
          <w:b/>
          <w:sz w:val="21"/>
        </w:rPr>
        <w:t xml:space="preserve">HIGH — ML triage deployment: </w:t>
      </w:r>
      <w:r>
        <w:rPr>
          <w:sz w:val="21"/>
        </w:rPr>
        <w:t>XGBoost adverse outcome classifier. 18.0% adverse rate. Operational savings: GHS 7.67M and 11.28M processing hours/yr.</w:t>
      </w:r>
    </w:p>
    <w:p/>
    <w:p>
      <w:pPr>
        <w:pStyle w:val="ListNumber"/>
      </w:pPr>
      <w:r>
        <w:rPr>
          <w:b/>
          <w:sz w:val="21"/>
        </w:rPr>
        <w:t xml:space="preserve">HIGH — Fraud sweep: </w:t>
      </w:r>
      <w:r>
        <w:rPr>
          <w:sz w:val="21"/>
        </w:rPr>
        <w:t>67,511 flagged accounts. 24 corporate rushed claims (≤3 days). Mandatory 7-day validation hold.</w:t>
      </w:r>
    </w:p>
    <w:p/>
    <w:p>
      <w:pPr>
        <w:pStyle w:val="ListNumber"/>
      </w:pPr>
      <w:r>
        <w:rPr>
          <w:b/>
          <w:sz w:val="21"/>
        </w:rPr>
        <w:t xml:space="preserve">MEDIUM — Age-band rating rollout: </w:t>
      </w:r>
      <w:r>
        <w:rPr>
          <w:sz w:val="21"/>
        </w:rPr>
        <w:t>GLM multipliers derived from Poisson coef = +0.300 — deploy to all retail and corporate rating schedules.</w:t>
      </w:r>
    </w:p>
    <w:p/>
    <w:p>
      <w:pPr>
        <w:pStyle w:val="ListNumber"/>
      </w:pPr>
      <w:r>
        <w:rPr>
          <w:b/>
          <w:sz w:val="21"/>
        </w:rPr>
        <w:t xml:space="preserve">MEDIUM — Agent incentive realignment: </w:t>
      </w:r>
      <w:r>
        <w:rPr>
          <w:sz w:val="21"/>
        </w:rPr>
        <w:t>Benjamin Nyarko and Collins Addae: GHS 36.9M deficit each. Tie commissions to loss ratio, not volume.</w:t>
      </w:r>
    </w:p>
    <w:p/>
    <w:p>
      <w:r>
        <w:br w:type="page"/>
      </w:r>
    </w:p>
    <w:p>
      <w:pPr>
        <w:pStyle w:val="Heading1"/>
      </w:pPr>
      <w:r>
        <w:rPr>
          <w:color w:val="8B0000"/>
        </w:rPr>
        <w:t>Appendix: Model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Family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Key Stat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Poisson GLM — Freq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Poisson(log)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51,974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Deviance/df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1.238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Gamma GLM — Severity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Gamma(log)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22,489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Scale param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0.509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OLS — Premium Alignment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OLS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51,974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0.000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OLS — Risk Score Decomp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OLS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51,974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XGBoost — Adverse Outcome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Binary XGBoost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51,974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Test accuracy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99.4%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Monte Carlo — Solvency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Poisson×LN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1,000 sim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99% VaR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GHS 834.4M</w:t>
            </w:r>
          </w:p>
        </w:tc>
      </w:tr>
    </w:tbl>
    <w:p>
      <w:pPr>
        <w:jc w:val="center"/>
      </w:pPr>
      <w:r>
        <w:rPr>
          <w:color w:val="969696"/>
          <w:sz w:val="16"/>
        </w:rPr>
        <w:t>Prudential Insurance | Confidential Actuarial Report | July 2026 | Executed notebook: Insurance_data_merged_executed.ipynb | 50,000 deduplicated retail policyholders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