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20"/>
      </w:pPr>
      <w:r>
        <w:t>Prudential Insurance Power BI Dashboard Specification &amp; DAX Guide</w:t>
      </w:r>
    </w:p>
    <w:p>
      <w:pPr>
        <w:spacing w:after="120"/>
      </w:pPr>
      <w:r>
        <w:t>This document provides the star-schema data model configuration, exact DAX calculations, and recommended chart types to build an executive dashboard in Power BI for Prudential Insurance based on the actuarial and risk analysis results.</w:t>
      </w:r>
    </w:p>
    <w:p>
      <w:pPr>
        <w:spacing w:before="240"/>
      </w:pPr>
    </w:p>
    <w:p>
      <w:pPr>
        <w:pStyle w:val="Heading2"/>
        <w:spacing w:before="280" w:after="80"/>
      </w:pPr>
      <w:r>
        <w:t>1. Suggested Star-Schema Data Model</w:t>
      </w:r>
    </w:p>
    <w:p>
      <w:pPr>
        <w:spacing w:after="120"/>
      </w:pPr>
      <w:r>
        <w:t>To optimize Power BI performance, organize the tables loaded from the CSV and Excel files into a standard Star Schema (Fact and Dimension tables):</w:t>
      </w:r>
    </w:p>
    <w:p>
      <w:pPr>
        <w:pStyle w:val="Heading3"/>
        <w:spacing w:before="240" w:after="80"/>
      </w:pPr>
      <w:r>
        <w:t>A. Fact Tables</w:t>
      </w:r>
    </w:p>
    <w:p>
      <w:pPr>
        <w:spacing w:after="120"/>
      </w:pPr>
      <w:r>
        <w:t>1. Fact_Policies (Retail &amp; Corporate):</w:t>
      </w:r>
    </w:p>
    <w:p>
      <w:pPr>
        <w:pStyle w:val="ListBullet"/>
        <w:spacing w:after="60"/>
      </w:pPr>
      <w:r>
        <w:t>Key Columns: `Customer_ID`, `Corporate_ID`, `Branch_ID`, `Agent_ID`, `Product_Applied`, `Premium_GHS`, `Tenure_Months`, `Risk_Score`, `Risk_Category`, `Expected_Loss`, `Recommended_Premium`, `Pricing_Deficit`, `Portfolio_Type`</w:t>
      </w:r>
    </w:p>
    <w:p>
      <w:pPr>
        <w:spacing w:after="120"/>
      </w:pPr>
      <w:r>
        <w:t>2. Fact_Claims:</w:t>
      </w:r>
    </w:p>
    <w:p>
      <w:pPr>
        <w:pStyle w:val="ListBullet"/>
        <w:spacing w:after="60"/>
      </w:pPr>
      <w:r>
        <w:t>Key Columns: `Claim_ID`, `Customer_ID` (maps to Employee/Customer), `Claim_Amount_GHS`, `Claim_Date`</w:t>
      </w:r>
    </w:p>
    <w:p>
      <w:pPr>
        <w:spacing w:after="120"/>
      </w:pPr>
      <w:r>
        <w:t>3. Fact_Workflow:</w:t>
      </w:r>
    </w:p>
    <w:p>
      <w:pPr>
        <w:pStyle w:val="ListBullet"/>
        <w:spacing w:after="60"/>
      </w:pPr>
      <w:r>
        <w:t>Key Columns: `Workflow_ID`, `Claim_ID`, `Submitted_Date`, `Reviewed_Date`, `Approved_By`, `Processing_Time_Days`</w:t>
      </w:r>
    </w:p>
    <w:p>
      <w:pPr>
        <w:pStyle w:val="Heading3"/>
        <w:spacing w:before="240" w:after="80"/>
      </w:pPr>
      <w:r>
        <w:t>B. Dimension Tables</w:t>
      </w:r>
    </w:p>
    <w:p>
      <w:pPr>
        <w:spacing w:after="120"/>
      </w:pPr>
      <w:r>
        <w:t>1. Dim_Customers:</w:t>
      </w:r>
    </w:p>
    <w:p>
      <w:pPr>
        <w:pStyle w:val="ListBullet"/>
        <w:spacing w:after="60"/>
      </w:pPr>
      <w:r>
        <w:t>Key Columns: `Customer_ID`, `Full_Name`, `Age`, `Gender`, `Occupation`, `Grade_Level`, `Monthly_Income_GHS`, `Smoker`, `Marital_Status`, `Dependents`</w:t>
      </w:r>
    </w:p>
    <w:p>
      <w:pPr>
        <w:spacing w:after="120"/>
      </w:pPr>
      <w:r>
        <w:t>2. Dim_Corporate_Clients:</w:t>
      </w:r>
    </w:p>
    <w:p>
      <w:pPr>
        <w:pStyle w:val="ListBullet"/>
        <w:spacing w:after="60"/>
      </w:pPr>
      <w:r>
        <w:t>Key Columns: `Corporate_ID`, `Company_Name`, `Industry`, `Number_of_Staff`</w:t>
      </w:r>
    </w:p>
    <w:p>
      <w:pPr>
        <w:spacing w:after="120"/>
      </w:pPr>
      <w:r>
        <w:t>3. Dim_Branches:</w:t>
      </w:r>
    </w:p>
    <w:p>
      <w:pPr>
        <w:pStyle w:val="ListBullet"/>
        <w:spacing w:after="60"/>
      </w:pPr>
      <w:r>
        <w:t>Key Columns: `Branch_ID`, `Region`</w:t>
      </w:r>
    </w:p>
    <w:p>
      <w:pPr>
        <w:spacing w:after="120"/>
      </w:pPr>
      <w:r>
        <w:t>4. Dim_Products:</w:t>
      </w:r>
    </w:p>
    <w:p>
      <w:pPr>
        <w:pStyle w:val="ListBullet"/>
        <w:spacing w:after="60"/>
      </w:pPr>
      <w:r>
        <w:t>Key Columns: `Product_Applied` (or `Insurance_Product`)</w:t>
      </w:r>
    </w:p>
    <w:p>
      <w:pPr>
        <w:spacing w:after="120"/>
      </w:pPr>
      <w:r>
        <w:t>5. Dim_Date (Calendar Table):</w:t>
      </w:r>
    </w:p>
    <w:p>
      <w:pPr>
        <w:pStyle w:val="ListBullet"/>
        <w:spacing w:after="60"/>
      </w:pPr>
      <w:r>
        <w:t>Standard calendar table linked to `Fact_Claims[Claim_Date]` and `Fact_Policies[Application_Date]`.</w:t>
      </w:r>
    </w:p>
    <w:p>
      <w:pPr>
        <w:spacing w:before="240"/>
      </w:pPr>
    </w:p>
    <w:p>
      <w:pPr>
        <w:pStyle w:val="Heading2"/>
        <w:spacing w:before="280" w:after="80"/>
      </w:pPr>
      <w:r>
        <w:t>2. Segmented DAX Measures (Retail vs. Corporate Side-by-Side)</w:t>
      </w:r>
    </w:p>
    <w:p>
      <w:pPr>
        <w:spacing w:after="120"/>
      </w:pPr>
      <w:r>
        <w:t>To allow side-by-side comparison in a single chart or card visual without requiring filter selection, create separate measures for each dataset:</w:t>
      </w:r>
    </w:p>
    <w:p>
      <w:pPr>
        <w:pStyle w:val="Heading3"/>
        <w:spacing w:before="240" w:after="80"/>
      </w:pPr>
      <w:r>
        <w:t>A. Global Portfolio KPIs (Unified)</w:t>
      </w:r>
    </w:p>
    <w:p>
      <w:pPr>
        <w:spacing w:after="120"/>
      </w:pPr>
      <w:r>
        <w:t>These measures calculate metrics across the entire business combined:</w:t>
      </w:r>
    </w:p>
    <w:p>
      <w:pPr>
        <w:spacing w:after="120"/>
        <w:ind w:left="720"/>
      </w:pPr>
      <w:r>
        <w:rPr>
          <w:rFonts w:ascii="Courier New" w:hAnsi="Courier New"/>
          <w:sz w:val="19"/>
        </w:rPr>
        <w:t>// Total Premiums Collected (Annualized)</w:t>
        <w:br/>
        <w:t>Total Premiums (Global) = SUM(Fact_Policies[Premium_GHS]) * 12</w:t>
        <w:br/>
        <w:br/>
        <w:t>// Total Claims Approved</w:t>
        <w:br/>
        <w:t>Total Claims (Global) = SUM(Fact_Claims[Claim_Amount_GHS])</w:t>
        <w:br/>
        <w:br/>
        <w:t>// Net Deficit</w:t>
        <w:br/>
        <w:t>Net Deficit (Global) = [Total Premiums (Global)] - [Total Claims (Global)]</w:t>
        <w:br/>
        <w:br/>
        <w:t>// Loss Ratio</w:t>
        <w:br/>
        <w:t>Loss Ratio (Global) = DIVIDE([Total Claims (Global)], [Total Premiums (Global)], 0)</w:t>
      </w:r>
    </w:p>
    <w:p>
      <w:pPr>
        <w:pStyle w:val="Heading3"/>
        <w:spacing w:before="240" w:after="80"/>
      </w:pPr>
      <w:r>
        <w:t>B. Individual Retail Measures</w:t>
      </w:r>
    </w:p>
    <w:p>
      <w:pPr>
        <w:spacing w:after="120"/>
      </w:pPr>
      <w:r>
        <w:t>These measures isolate the individual retail portfolio:</w:t>
      </w:r>
    </w:p>
    <w:p>
      <w:pPr>
        <w:spacing w:after="120"/>
        <w:ind w:left="720"/>
      </w:pPr>
      <w:r>
        <w:rPr>
          <w:rFonts w:ascii="Courier New" w:hAnsi="Courier New"/>
          <w:sz w:val="19"/>
        </w:rPr>
        <w:t>// 1. Retail Premiums Collected (Annualized)</w:t>
        <w:br/>
        <w:t xml:space="preserve">Retail Premiums = </w:t>
        <w:br/>
        <w:t>CALCULATE(</w:t>
        <w:br/>
        <w:t xml:space="preserve">    SUM(Fact_Policies[Premium_GHS]) * 12,</w:t>
        <w:br/>
        <w:t xml:space="preserve">    Fact_Policies[Portfolio_Type] = "Retail"</w:t>
        <w:br/>
        <w:t>)</w:t>
        <w:br/>
        <w:br/>
        <w:t>// 2. Retail Claims Paid</w:t>
        <w:br/>
        <w:t xml:space="preserve">Retail Claims = </w:t>
        <w:br/>
        <w:t>CALCULATE(</w:t>
        <w:br/>
        <w:t xml:space="preserve">    SUM(Fact_Claims[Claim_Amount_GHS]),</w:t>
        <w:br/>
        <w:t xml:space="preserve">    Fact_Policies[Portfolio_Type] = "Retail"</w:t>
        <w:br/>
        <w:t>)</w:t>
        <w:br/>
        <w:br/>
        <w:t>// 3. Retail Loss Deficit</w:t>
        <w:br/>
        <w:t>Retail Deficit = [Retail Premiums] - [Retail Claims]</w:t>
        <w:br/>
        <w:br/>
        <w:t>// 4. Retail Loss Ratio</w:t>
        <w:br/>
        <w:t>Retail Loss Ratio = DIVIDE([Retail Claims], [Retail Premiums], 0)</w:t>
        <w:br/>
        <w:br/>
        <w:t>// 5. Retail Expected Annual Loss</w:t>
        <w:br/>
        <w:t xml:space="preserve">Retail Expected Loss = </w:t>
        <w:br/>
        <w:t>CALCULATE(</w:t>
        <w:br/>
        <w:t xml:space="preserve">    SUM(Fact_Policies[Expected_Loss]),</w:t>
        <w:br/>
        <w:t xml:space="preserve">    Fact_Policies[Portfolio_Type] = "Retail"</w:t>
        <w:br/>
        <w:t>)</w:t>
        <w:br/>
        <w:br/>
        <w:t>// 6. Retail Recommended Premium</w:t>
        <w:br/>
        <w:t xml:space="preserve">Retail Recommended Premium = </w:t>
        <w:br/>
        <w:t>CALCULATE(</w:t>
        <w:br/>
        <w:t xml:space="preserve">    SUM(Fact_Policies[Recommended_Premium]),</w:t>
        <w:br/>
        <w:t xml:space="preserve">    Fact_Policies[Portfolio_Type] = "Retail"</w:t>
        <w:br/>
        <w:t>)</w:t>
        <w:br/>
        <w:br/>
        <w:t>// 7. Retail Pricing Deficit (Underpricing Gap)</w:t>
        <w:br/>
        <w:t xml:space="preserve">Retail Pricing Deficit = </w:t>
        <w:br/>
        <w:t>CALCULATE(</w:t>
        <w:br/>
        <w:t xml:space="preserve">    SUM(Fact_Policies[Pricing_Deficit]),</w:t>
        <w:br/>
        <w:t xml:space="preserve">    Fact_Policies[Portfolio_Type] = "Retail"</w:t>
        <w:br/>
        <w:t>)</w:t>
        <w:br/>
        <w:br/>
        <w:t>// 8. Retail Average Customer Risk Score</w:t>
        <w:br/>
        <w:t xml:space="preserve">Retail Avg Risk Score = </w:t>
        <w:br/>
        <w:t>CALCULATE(</w:t>
        <w:br/>
        <w:t xml:space="preserve">    AVERAGE(Fact_Policies[Risk_Score]),</w:t>
        <w:br/>
        <w:t xml:space="preserve">    Fact_Policies[Portfolio_Type] = "Retail"</w:t>
        <w:br/>
        <w:t>)</w:t>
        <w:br/>
        <w:br/>
        <w:t>// 9. Retail Underwriting Automation Net Savings (GHS)</w:t>
        <w:br/>
        <w:t xml:space="preserve">Retail Automation Savings = </w:t>
        <w:br/>
        <w:t>CALCULATE(</w:t>
        <w:br/>
        <w:t xml:space="preserve">    403172, // Based on ML underwriting triage simulation</w:t>
        <w:br/>
        <w:t xml:space="preserve">    Fact_Policies[Portfolio_Type] = "Retail"</w:t>
        <w:br/>
        <w:t>)</w:t>
      </w:r>
    </w:p>
    <w:p>
      <w:pPr>
        <w:pStyle w:val="Heading3"/>
        <w:spacing w:before="240" w:after="80"/>
      </w:pPr>
      <w:r>
        <w:t>C. Corporate Portfolio Measures</w:t>
      </w:r>
    </w:p>
    <w:p>
      <w:pPr>
        <w:spacing w:after="120"/>
      </w:pPr>
      <w:r>
        <w:t>These measures isolate the corporate employee packages:</w:t>
      </w:r>
    </w:p>
    <w:p>
      <w:pPr>
        <w:spacing w:after="120"/>
        <w:ind w:left="720"/>
      </w:pPr>
      <w:r>
        <w:rPr>
          <w:rFonts w:ascii="Courier New" w:hAnsi="Courier New"/>
          <w:sz w:val="19"/>
        </w:rPr>
        <w:t>// 10. Corporate Premiums Collected (Annualized)</w:t>
        <w:br/>
        <w:t xml:space="preserve">Corporate Premiums = </w:t>
        <w:br/>
        <w:t>CALCULATE(</w:t>
        <w:br/>
        <w:t xml:space="preserve">    SUM(Fact_Policies[Premium_GHS]) * 12,</w:t>
        <w:br/>
        <w:t xml:space="preserve">    Fact_Policies[Portfolio_Type] = "Corporate"</w:t>
        <w:br/>
        <w:t>)</w:t>
        <w:br/>
        <w:br/>
        <w:t>// 11. Corporate Claims Paid</w:t>
        <w:br/>
        <w:t xml:space="preserve">Corporate Claims = </w:t>
        <w:br/>
        <w:t>CALCULATE(</w:t>
        <w:br/>
        <w:t xml:space="preserve">    SUM(Fact_Claims[Claim_Amount_GHS]),</w:t>
        <w:br/>
        <w:t xml:space="preserve">    Fact_Policies[Portfolio_Type] = "Corporate"</w:t>
        <w:br/>
        <w:t>)</w:t>
        <w:br/>
        <w:br/>
        <w:t>// 12. Corporate Loss Deficit</w:t>
        <w:br/>
        <w:t>Corporate Deficit = [Corporate Premiums] - [Corporate Claims]</w:t>
        <w:br/>
        <w:br/>
        <w:t>// 13. Corporate Loss Ratio</w:t>
        <w:br/>
        <w:t>Corporate Loss Ratio = DIVIDE([Corporate Claims], [Corporate Premiums], 0)</w:t>
        <w:br/>
        <w:br/>
        <w:t>// 14. Corporate Expected Annual Loss</w:t>
        <w:br/>
        <w:t xml:space="preserve">Corporate Expected Loss = </w:t>
        <w:br/>
        <w:t>CALCULATE(</w:t>
        <w:br/>
        <w:t xml:space="preserve">    SUM(Fact_Policies[Expected_Loss]),</w:t>
        <w:br/>
        <w:t xml:space="preserve">    Fact_Policies[Portfolio_Type] = "Corporate"</w:t>
        <w:br/>
        <w:t>)</w:t>
        <w:br/>
        <w:br/>
        <w:t>// 15. Corporate Recommended Premium</w:t>
        <w:br/>
        <w:t xml:space="preserve">Corporate Recommended Premium = </w:t>
        <w:br/>
        <w:t>CALCULATE(</w:t>
        <w:br/>
        <w:t xml:space="preserve">    SUM(Fact_Policies[Recommended_Premium]),</w:t>
        <w:br/>
        <w:t xml:space="preserve">    Fact_Policies[Portfolio_Type] = "Corporate"</w:t>
        <w:br/>
        <w:t>)</w:t>
        <w:br/>
        <w:br/>
        <w:t>// 16. Corporate Pricing Deficit (Underpricing Gap)</w:t>
        <w:br/>
        <w:t xml:space="preserve">Corporate Pricing Deficit = </w:t>
        <w:br/>
        <w:t>CALCULATE(</w:t>
        <w:br/>
        <w:t xml:space="preserve">    SUM(Fact_Policies[Pricing_Deficit]),</w:t>
        <w:br/>
        <w:t xml:space="preserve">    Fact_Policies[Portfolio_Type] = "Corporate"</w:t>
        <w:br/>
        <w:t>)</w:t>
        <w:br/>
        <w:br/>
        <w:t>// 17. Corporate Average Employee Risk Score</w:t>
        <w:br/>
        <w:t xml:space="preserve">Corporate Avg Risk Score = </w:t>
        <w:br/>
        <w:t>CALCULATE(</w:t>
        <w:br/>
        <w:t xml:space="preserve">    AVERAGE(Fact_Policies[Risk_Score]),</w:t>
        <w:br/>
        <w:t xml:space="preserve">    Fact_Policies[Portfolio_Type] = "Corporate"</w:t>
        <w:br/>
        <w:t>)</w:t>
        <w:br/>
        <w:br/>
        <w:t>// 18. Corporate Underwriting Automation Net Savings (GHS)</w:t>
        <w:br/>
        <w:t xml:space="preserve">Corporate Automation Savings = </w:t>
        <w:br/>
        <w:t>CALCULATE(</w:t>
        <w:br/>
        <w:t xml:space="preserve">    14504, // Based on ML underwriting triage simulation</w:t>
        <w:br/>
        <w:t xml:space="preserve">    Fact_Policies[Portfolio_Type] = "Corporate"</w:t>
        <w:br/>
        <w:t>)</w:t>
        <w:br/>
        <w:br/>
        <w:t>// 19. Corporate Solvency Capital Reserves Required</w:t>
        <w:br/>
        <w:t xml:space="preserve">Corporate Solvency Reserves Required = </w:t>
        <w:br/>
        <w:t>CALCULATE(</w:t>
        <w:br/>
        <w:t xml:space="preserve">    // 99% Value at Risk (23.71M GHS) - Total Corporate Premiums Collected (4.55M GHS)</w:t>
        <w:br/>
        <w:t xml:space="preserve">    MAX(0, 23710776 - [Corporate Premiums]),</w:t>
        <w:br/>
        <w:t xml:space="preserve">    Fact_Policies[Portfolio_Type] = "Corporate"</w:t>
        <w:br/>
        <w:t>)</w:t>
      </w:r>
    </w:p>
    <w:p>
      <w:pPr>
        <w:spacing w:before="240"/>
      </w:pPr>
    </w:p>
    <w:p>
      <w:pPr>
        <w:pStyle w:val="Heading2"/>
        <w:spacing w:before="280" w:after="80"/>
      </w:pPr>
      <w:r>
        <w:t>3. Recommended Visualizations &amp; Dashboard Layout</w:t>
      </w:r>
    </w:p>
    <w:p>
      <w:pPr>
        <w:spacing w:after="120"/>
      </w:pPr>
      <w:r>
        <w:t>Structure your Power BI dashboard into three main report pages:</w:t>
      </w:r>
    </w:p>
    <w:p>
      <w:pPr>
        <w:pStyle w:val="Heading3"/>
        <w:spacing w:before="240" w:after="80"/>
      </w:pPr>
      <w:r>
        <w:t>Page 1: Actuarial Financial Solvency &amp; Comparison (Executive View)</w:t>
      </w:r>
    </w:p>
    <w:p>
      <w:pPr>
        <w:pStyle w:val="ListBullet"/>
        <w:spacing w:after="60"/>
      </w:pPr>
      <w:r>
        <w:t>**Goal:** Give the Board an immediate side-by-side comparison of Retail vs. Corporate performance.</w:t>
      </w:r>
    </w:p>
    <w:p>
      <w:pPr>
        <w:pStyle w:val="ListBullet"/>
        <w:spacing w:after="60"/>
      </w:pPr>
      <w:r>
        <w:t>**Recommended Visuals:**</w:t>
      </w:r>
    </w:p>
    <w:p>
      <w:pPr>
        <w:spacing w:after="120"/>
      </w:pPr>
      <w:r>
        <w:t>1. KPI Cards (Top row - Side-by-side Comparison):</w:t>
      </w:r>
    </w:p>
    <w:p>
      <w:pPr>
        <w:pStyle w:val="ListBullet"/>
        <w:spacing w:after="60"/>
      </w:pPr>
      <w:r>
        <w:t>**Card Group 1 (Premiums):** `Retail Premiums` vs. `Corporate Premiums`</w:t>
      </w:r>
    </w:p>
    <w:p>
      <w:pPr>
        <w:pStyle w:val="ListBullet"/>
        <w:spacing w:after="60"/>
      </w:pPr>
      <w:r>
        <w:t>**Card Group 2 (Claims):** `Retail Claims` vs. `Corporate Claims`</w:t>
      </w:r>
    </w:p>
    <w:p>
      <w:pPr>
        <w:pStyle w:val="ListBullet"/>
        <w:spacing w:after="60"/>
      </w:pPr>
      <w:r>
        <w:t>**Card Group 3 (Loss Ratio):** `Retail Loss Ratio` vs. `Corporate Loss Ratio`</w:t>
      </w:r>
    </w:p>
    <w:p>
      <w:pPr>
        <w:spacing w:after="120"/>
      </w:pPr>
      <w:r>
        <w:t>2. Clustered Column Chart (Retail vs. Corporate Financials):</w:t>
      </w:r>
    </w:p>
    <w:p>
      <w:pPr>
        <w:pStyle w:val="ListBullet"/>
        <w:spacing w:after="60"/>
      </w:pPr>
      <w:r>
        <w:t>**Y-Axis:** `Retail Deficit`, `Corporate Deficit`</w:t>
      </w:r>
    </w:p>
    <w:p>
      <w:pPr>
        <w:pStyle w:val="ListBullet"/>
        <w:spacing w:after="60"/>
      </w:pPr>
      <w:r>
        <w:t>**X-Axis:** Calendar Year/Month</w:t>
      </w:r>
    </w:p>
    <w:p>
      <w:pPr>
        <w:pStyle w:val="ListBullet"/>
        <w:spacing w:after="60"/>
      </w:pPr>
      <w:r>
        <w:t>**Purpose:** Highlights how corporate losses have accelerated compared to retail losses.</w:t>
      </w:r>
    </w:p>
    <w:p>
      <w:pPr>
        <w:spacing w:after="120"/>
      </w:pPr>
      <w:r>
        <w:t>3. Matrix Visual (Product Sufficiency):</w:t>
      </w:r>
    </w:p>
    <w:p>
      <w:pPr>
        <w:pStyle w:val="ListBullet"/>
        <w:spacing w:after="60"/>
      </w:pPr>
      <w:r>
        <w:t>**Rows:** `Product_Applied` (includes both individual and corporate plans)</w:t>
      </w:r>
    </w:p>
    <w:p>
      <w:pPr>
        <w:pStyle w:val="ListBullet"/>
        <w:spacing w:after="60"/>
      </w:pPr>
      <w:r>
        <w:t>**Values:** Annual Premiums, Total Claims, Deficit, Loss Ratio</w:t>
      </w:r>
    </w:p>
    <w:p>
      <w:pPr>
        <w:pStyle w:val="ListBullet"/>
        <w:spacing w:after="60"/>
      </w:pPr>
      <w:r>
        <w:t>**Formatting:** Apply **Conditional Formatting (Data Bars)** on Loss Ratio to show the 800%+ corporate plan deficit.</w:t>
      </w:r>
    </w:p>
    <w:p>
      <w:pPr>
        <w:pStyle w:val="Heading3"/>
        <w:spacing w:before="240" w:after="80"/>
      </w:pPr>
      <w:r>
        <w:t>Page 2: Actuarial Pricing Audit &amp; Risk Category Mapping</w:t>
      </w:r>
    </w:p>
    <w:p>
      <w:pPr>
        <w:pStyle w:val="ListBullet"/>
        <w:spacing w:after="60"/>
      </w:pPr>
      <w:r>
        <w:t>**Goal:** Direct underwriters to adjust prices based on risk scores and demographics.</w:t>
      </w:r>
    </w:p>
    <w:p>
      <w:pPr>
        <w:pStyle w:val="ListBullet"/>
        <w:spacing w:after="60"/>
      </w:pPr>
      <w:r>
        <w:t>**Recommended Visuals:**</w:t>
      </w:r>
    </w:p>
    <w:p>
      <w:pPr>
        <w:spacing w:after="120"/>
      </w:pPr>
      <w:r>
        <w:t>1. Scatter Plot (Risk Score vs. Premium Correlation):</w:t>
      </w:r>
    </w:p>
    <w:p>
      <w:pPr>
        <w:pStyle w:val="ListBullet"/>
        <w:spacing w:after="60"/>
      </w:pPr>
      <w:r>
        <w:t>**X-Axis:** `Risk_Score`</w:t>
      </w:r>
    </w:p>
    <w:p>
      <w:pPr>
        <w:pStyle w:val="ListBullet"/>
        <w:spacing w:after="60"/>
      </w:pPr>
      <w:r>
        <w:t>**Y-Axis:** `Premium_GHS`</w:t>
      </w:r>
    </w:p>
    <w:p>
      <w:pPr>
        <w:pStyle w:val="ListBullet"/>
        <w:spacing w:after="60"/>
      </w:pPr>
      <w:r>
        <w:t>**Legend:** `Portfolio_Type`</w:t>
      </w:r>
    </w:p>
    <w:p>
      <w:pPr>
        <w:pStyle w:val="ListBullet"/>
        <w:spacing w:after="60"/>
      </w:pPr>
      <w:r>
        <w:t>**Purpose:** Shows that corporate pricing is a flat line (correlation 0.0066), proving underwriters are ignoring risk scores.</w:t>
      </w:r>
    </w:p>
    <w:p>
      <w:pPr>
        <w:spacing w:after="120"/>
      </w:pPr>
      <w:r>
        <w:t>2. 100% Stacked Bar Chart (Pricing Shortfalls by Risk Category):</w:t>
      </w:r>
    </w:p>
    <w:p>
      <w:pPr>
        <w:pStyle w:val="ListBullet"/>
        <w:spacing w:after="60"/>
      </w:pPr>
      <w:r>
        <w:t>**Y-Axis:** `Risk_Category`</w:t>
      </w:r>
    </w:p>
    <w:p>
      <w:pPr>
        <w:pStyle w:val="ListBullet"/>
        <w:spacing w:after="60"/>
      </w:pPr>
      <w:r>
        <w:t>**X-Axis:** `Retail Pricing Deficit` and `Corporate Pricing Deficit` (placed side-by-side)</w:t>
      </w:r>
    </w:p>
    <w:p>
      <w:pPr>
        <w:pStyle w:val="ListBullet"/>
        <w:spacing w:after="60"/>
      </w:pPr>
      <w:r>
        <w:t>**Purpose:** Shows that Critical and High Risk segments represent the largest pricing gap across both portfolios.</w:t>
      </w:r>
    </w:p>
    <w:p>
      <w:pPr>
        <w:spacing w:after="120"/>
      </w:pPr>
      <w:r>
        <w:t>3. Demographic Histograms (Side-by-Side):</w:t>
      </w:r>
    </w:p>
    <w:p>
      <w:pPr>
        <w:pStyle w:val="ListBullet"/>
        <w:spacing w:after="60"/>
      </w:pPr>
      <w:r>
        <w:t>**X-Axis:** `Age` (binned into 5-year intervals)</w:t>
      </w:r>
    </w:p>
    <w:p>
      <w:pPr>
        <w:pStyle w:val="ListBullet"/>
        <w:spacing w:after="60"/>
      </w:pPr>
      <w:r>
        <w:t>**Y-Axis:** Total Claims (Hue = Portfolio Type)</w:t>
      </w:r>
    </w:p>
    <w:p>
      <w:pPr>
        <w:pStyle w:val="ListBullet"/>
        <w:spacing w:after="60"/>
      </w:pPr>
      <w:r>
        <w:t>**Purpose:** Proves that older ages are the primary driver of claim volumes.</w:t>
      </w:r>
    </w:p>
    <w:p>
      <w:pPr>
        <w:pStyle w:val="Heading3"/>
        <w:spacing w:before="240" w:after="80"/>
      </w:pPr>
      <w:r>
        <w:t>Page 3: Operations &amp; Claim Audit (Fraud Leakage Triage)</w:t>
      </w:r>
    </w:p>
    <w:p>
      <w:pPr>
        <w:pStyle w:val="ListBullet"/>
        <w:spacing w:after="60"/>
      </w:pPr>
      <w:r>
        <w:t>**Goal:** Direct claim managers to stop rushed claims and clear processor bottlenecks.</w:t>
      </w:r>
    </w:p>
    <w:p>
      <w:pPr>
        <w:pStyle w:val="ListBullet"/>
        <w:spacing w:after="60"/>
      </w:pPr>
      <w:r>
        <w:t>**Recommended Visuals:**</w:t>
      </w:r>
    </w:p>
    <w:p>
      <w:pPr>
        <w:spacing w:after="120"/>
      </w:pPr>
      <w:r>
        <w:t>1. Bar Chart (Processor Efficiency):</w:t>
      </w:r>
    </w:p>
    <w:p>
      <w:pPr>
        <w:pStyle w:val="ListBullet"/>
        <w:spacing w:after="60"/>
      </w:pPr>
      <w:r>
        <w:t>**Y-Axis:** `Approved_By` (Sales Agent)</w:t>
      </w:r>
    </w:p>
    <w:p>
      <w:pPr>
        <w:pStyle w:val="ListBullet"/>
        <w:spacing w:after="60"/>
      </w:pPr>
      <w:r>
        <w:t>**X-Axis:** Average Claims Review Time (Days)</w:t>
      </w:r>
    </w:p>
    <w:p>
      <w:pPr>
        <w:pStyle w:val="ListBullet"/>
        <w:spacing w:after="60"/>
      </w:pPr>
      <w:r>
        <w:t>**Purpose:** Identifies Michael Owusu and Ama Boateng as bottleneck agents.</w:t>
      </w:r>
    </w:p>
    <w:p>
      <w:pPr>
        <w:spacing w:after="120"/>
      </w:pPr>
      <w:r>
        <w:t>2. Donut Chart (Rushed Claims Proportion):</w:t>
      </w:r>
    </w:p>
    <w:p>
      <w:pPr>
        <w:pStyle w:val="ListBullet"/>
        <w:spacing w:after="60"/>
      </w:pPr>
      <w:r>
        <w:t>**Legend:** `Processing_Time_Days` (Grouped: "3 Days or Less" vs. "Standard")</w:t>
      </w:r>
    </w:p>
    <w:p>
      <w:pPr>
        <w:pStyle w:val="ListBullet"/>
        <w:spacing w:after="60"/>
      </w:pPr>
      <w:r>
        <w:t>**Values:** Count of Claims</w:t>
      </w:r>
    </w:p>
    <w:p>
      <w:pPr>
        <w:pStyle w:val="ListBullet"/>
        <w:spacing w:after="60"/>
      </w:pPr>
      <w:r>
        <w:t>**Purpose:** Highlights the 24 corporate rushed claims.</w:t>
      </w:r>
    </w:p>
    <w:p>
      <w:pPr>
        <w:spacing w:after="120"/>
      </w:pPr>
      <w:r>
        <w:t>3. Regional Heat Map:</w:t>
      </w:r>
    </w:p>
    <w:p>
      <w:pPr>
        <w:pStyle w:val="ListBullet"/>
        <w:spacing w:after="60"/>
      </w:pPr>
      <w:r>
        <w:t>**Location:** `Region`</w:t>
      </w:r>
    </w:p>
    <w:p>
      <w:pPr>
        <w:pStyle w:val="ListBullet"/>
        <w:spacing w:after="60"/>
      </w:pPr>
      <w:r>
        <w:t>**Bubble Size:** Deficit size or Average Risk Score</w:t>
      </w:r>
    </w:p>
    <w:p>
      <w:pPr>
        <w:pStyle w:val="ListBullet"/>
        <w:spacing w:after="60"/>
      </w:pPr>
      <w:r>
        <w:t>**Legend:** `Portfolio_Type`</w:t>
      </w:r>
    </w:p>
    <w:p>
      <w:pPr>
        <w:pStyle w:val="ListBullet"/>
        <w:spacing w:after="60"/>
      </w:pPr>
      <w:r>
        <w:t>**Purpose:** Shows Accra, Kumasi, and Takoradi as the highest-risk regions.</w:t>
      </w:r>
    </w:p>
    <w:p>
      <w:pPr>
        <w:spacing w:before="240"/>
      </w:pPr>
    </w:p>
    <w:p>
      <w:pPr>
        <w:pStyle w:val="Heading2"/>
        <w:spacing w:before="280" w:after="80"/>
      </w:pPr>
      <w:r>
        <w:t>4. Power BI Interactive Filters (Slicers)</w:t>
      </w:r>
    </w:p>
    <w:p>
      <w:pPr>
        <w:spacing w:after="120"/>
      </w:pPr>
      <w:r>
        <w:t>Add these slicers to the left pane of all three pages for interactive segment-by-segment filtering:</w:t>
      </w:r>
    </w:p>
    <w:p>
      <w:pPr>
        <w:spacing w:after="120"/>
      </w:pPr>
      <w:r>
        <w:t>1. `Portfolio_Type` Slicer: (Dropdown with "Retail" and "Corporate"). Allows the user to toggle between the personal and company packages.</w:t>
      </w:r>
    </w:p>
    <w:p>
      <w:pPr>
        <w:spacing w:after="120"/>
      </w:pPr>
      <w:r>
        <w:t>2. `Risk_Category` Slicer: (Multi-select list with "Low", "Medium", "High", "Critical").</w:t>
      </w:r>
    </w:p>
    <w:p>
      <w:pPr>
        <w:spacing w:after="120"/>
      </w:pPr>
      <w:r>
        <w:t>3. `Region` Slicer: (Dropdown of branches).</w:t>
      </w:r>
    </w:p>
    <w:p>
      <w:pPr>
        <w:spacing w:before="240"/>
      </w:pPr>
    </w:p>
    <w:p>
      <w:pPr>
        <w:pStyle w:val="Heading2"/>
        <w:spacing w:before="280" w:after="80"/>
      </w:pPr>
      <w:r>
        <w:t>5. Power BI Premium Styling &amp; Executive Presentation Guidelines</w:t>
      </w:r>
    </w:p>
    <w:p>
      <w:pPr>
        <w:spacing w:after="120"/>
      </w:pPr>
      <w:r>
        <w:t>To ensure the presentation feels premium, modern, and publication-ready, follow these formatting guidelines:</w:t>
      </w:r>
    </w:p>
    <w:p>
      <w:pPr>
        <w:pStyle w:val="Heading3"/>
        <w:spacing w:before="240" w:after="80"/>
      </w:pPr>
      <w:r>
        <w:t>A. Sleek Dark-Mode Corporate Palette</w:t>
      </w:r>
    </w:p>
    <w:p>
      <w:pPr>
        <w:spacing w:after="120"/>
      </w:pPr>
      <w:r>
        <w:t>Avoid Power BI's default neon palettes. Import a custom JSON theme with these colors:</w:t>
      </w:r>
    </w:p>
    <w:p>
      <w:pPr>
        <w:pStyle w:val="ListBullet"/>
        <w:spacing w:after="60"/>
      </w:pPr>
      <w:r>
        <w:t>**Background (Dark Charcoal):** `#1E2229` (Gives a clean, sleek, high-contrast look)</w:t>
      </w:r>
    </w:p>
    <w:p>
      <w:pPr>
        <w:pStyle w:val="ListBullet"/>
        <w:spacing w:after="60"/>
      </w:pPr>
      <w:r>
        <w:t>**Containers (Slate Grey):** `#2A2E39` (With rounded corners: 8px, and a subtle drop shadow)</w:t>
      </w:r>
    </w:p>
    <w:p>
      <w:pPr>
        <w:pStyle w:val="ListBullet"/>
        <w:spacing w:after="60"/>
      </w:pPr>
      <w:r>
        <w:t>**Low / Medium Risk:** `#0D939C` (Muted Teal)</w:t>
      </w:r>
    </w:p>
    <w:p>
      <w:pPr>
        <w:pStyle w:val="ListBullet"/>
        <w:spacing w:after="60"/>
      </w:pPr>
      <w:r>
        <w:t>**High Risk:** `#E05A47` (Vibrant Coral / Orange)</w:t>
      </w:r>
    </w:p>
    <w:p>
      <w:pPr>
        <w:pStyle w:val="ListBullet"/>
        <w:spacing w:after="60"/>
      </w:pPr>
      <w:r>
        <w:t>**Critical Risk / Financial Deficit:** `#B22222` (Deep Crimson Red)</w:t>
      </w:r>
    </w:p>
    <w:p>
      <w:pPr>
        <w:pStyle w:val="ListBullet"/>
        <w:spacing w:after="60"/>
      </w:pPr>
      <w:r>
        <w:t>**Normal Text:** `#FFFFFF` (White) | **Muted Text:** `#A5AAB5` (Light Slate)</w:t>
      </w:r>
    </w:p>
    <w:p>
      <w:pPr>
        <w:pStyle w:val="Heading3"/>
        <w:spacing w:before="240" w:after="80"/>
      </w:pPr>
      <w:r>
        <w:t>B. Typography Hierarchy</w:t>
      </w:r>
    </w:p>
    <w:p>
      <w:pPr>
        <w:spacing w:after="120"/>
      </w:pPr>
      <w:r>
        <w:t>Use modern sans-serif typefaces to replace browser defaults:</w:t>
      </w:r>
    </w:p>
    <w:p>
      <w:pPr>
        <w:pStyle w:val="ListBullet"/>
        <w:spacing w:after="60"/>
      </w:pPr>
      <w:r>
        <w:t>**Dashboard Title:** 24pt, Bold, **Segoe UI Semibold** (Centered or Left-aligned on header bar)</w:t>
      </w:r>
    </w:p>
    <w:p>
      <w:pPr>
        <w:pStyle w:val="ListBullet"/>
        <w:spacing w:after="60"/>
      </w:pPr>
      <w:r>
        <w:t>**Visual Headers:** 12pt, Bold, **Segoe UI** (White text on a Slate background)</w:t>
      </w:r>
    </w:p>
    <w:p>
      <w:pPr>
        <w:pStyle w:val="ListBullet"/>
        <w:spacing w:after="60"/>
      </w:pPr>
      <w:r>
        <w:t>**KPI Card Metrics:** 28pt, Bold, **Segoe UI Semibold** (With dynamic colors: Green for profit, Red for deficit)</w:t>
      </w:r>
    </w:p>
    <w:p>
      <w:pPr>
        <w:pStyle w:val="ListBullet"/>
        <w:spacing w:after="60"/>
      </w:pPr>
      <w:r>
        <w:t>**Legend / Axis Labels:** 9pt, Regular, **Segoe UI** (Muted grey color to prevent visual clutter)</w:t>
      </w:r>
    </w:p>
    <w:p>
      <w:pPr>
        <w:pStyle w:val="Heading3"/>
        <w:spacing w:before="240" w:after="80"/>
      </w:pPr>
      <w:r>
        <w:t>C. Solvency Gauge Visual (Solvency Reserves Status)</w:t>
      </w:r>
    </w:p>
    <w:p>
      <w:pPr>
        <w:spacing w:after="120"/>
      </w:pPr>
      <w:r>
        <w:t>Do not show the 19.16M GHS reserve deficit as a simple card. Instead:</w:t>
      </w:r>
    </w:p>
    <w:p>
      <w:pPr>
        <w:pStyle w:val="ListBullet"/>
        <w:spacing w:after="60"/>
      </w:pPr>
      <w:r>
        <w:t>Use a **Gauge Visual** or **Tachometer** in Power BI.</w:t>
      </w:r>
    </w:p>
    <w:p>
      <w:pPr>
        <w:pStyle w:val="ListBullet"/>
        <w:spacing w:after="60"/>
      </w:pPr>
      <w:r>
        <w:t>**Value:** `Corporate Solvency Reserves Required` (19.16M GHS)</w:t>
      </w:r>
    </w:p>
    <w:p>
      <w:pPr>
        <w:pStyle w:val="ListBullet"/>
        <w:spacing w:after="60"/>
      </w:pPr>
      <w:r>
        <w:t>**Target / Maximum Value:** Set the maximum scale to `Corporate Expected Loss` (22.53M GHS).</w:t>
      </w:r>
    </w:p>
    <w:p>
      <w:pPr>
        <w:pStyle w:val="ListBullet"/>
        <w:spacing w:after="60"/>
      </w:pPr>
      <w:r>
        <w:t>**Color Formatting:** Format the target range as **Crimson Red**, warning stakeholders that the gap represents a critical solvency capital failure.</w:t>
      </w:r>
    </w:p>
    <w:p>
      <w:pPr>
        <w:pStyle w:val="Heading3"/>
        <w:spacing w:before="240" w:after="80"/>
      </w:pPr>
      <w:r>
        <w:t>D. Advanced Interactive Tooltip Pages (The "Wow" Factor)</w:t>
      </w:r>
    </w:p>
    <w:p>
      <w:pPr>
        <w:spacing w:after="120"/>
      </w:pPr>
      <w:r>
        <w:t>Instead of standard black-box Power BI tooltips, create a custom Tooltip Page:</w:t>
      </w:r>
    </w:p>
    <w:p>
      <w:pPr>
        <w:pStyle w:val="ListBullet"/>
        <w:spacing w:after="60"/>
      </w:pPr>
      <w:r>
        <w:t>Set page size to "Tooltip".</w:t>
      </w:r>
    </w:p>
    <w:p>
      <w:pPr>
        <w:pStyle w:val="ListBullet"/>
        <w:spacing w:after="60"/>
      </w:pPr>
      <w:r>
        <w:t>Create a mini-chart showing:</w:t>
      </w:r>
    </w:p>
    <w:p>
      <w:pPr>
        <w:pStyle w:val="ListBullet"/>
        <w:spacing w:after="60"/>
      </w:pPr>
      <w:r>
        <w:t>A bar chart of `Average Claims` by `Age Band`.</w:t>
      </w:r>
    </w:p>
    <w:p>
      <w:pPr>
        <w:pStyle w:val="ListBullet"/>
        <w:spacing w:after="60"/>
      </w:pPr>
      <w:r>
        <w:t>A KPI card showing `High Risk Employees Count`.</w:t>
      </w:r>
    </w:p>
    <w:p>
      <w:pPr>
        <w:pStyle w:val="ListBullet"/>
        <w:spacing w:after="60"/>
      </w:pPr>
      <w:r>
        <w:t>**Action:** Link this Tooltip page to the `Company_Name` column in your client table.</w:t>
      </w:r>
    </w:p>
    <w:p>
      <w:pPr>
        <w:pStyle w:val="ListBullet"/>
        <w:spacing w:after="60"/>
      </w:pPr>
      <w:r>
        <w:t>**Result:** When an executive hovers their mouse over **MTN Ghana** or **GCB Bank** in the table, a floating, high-fidelity card automatically appears showing that company's age demographics and high-risk count instantly!</w:t>
      </w:r>
    </w:p>
    <w:p>
      <w:pPr>
        <w:pStyle w:val="Heading3"/>
        <w:spacing w:before="240" w:after="80"/>
      </w:pPr>
      <w:r>
        <w:t>E. Custom Navigation Pane (App-Like Feel)</w:t>
      </w:r>
    </w:p>
    <w:p>
      <w:pPr>
        <w:pStyle w:val="ListBullet"/>
        <w:spacing w:after="60"/>
      </w:pPr>
      <w:r>
        <w:t>Turn off standard page tabs at the bottom of the screen.</w:t>
      </w:r>
    </w:p>
    <w:p>
      <w:pPr>
        <w:pStyle w:val="ListBullet"/>
        <w:spacing w:after="60"/>
      </w:pPr>
      <w:r>
        <w:t>Create a **vertical navigation pane** on the left side of the canvas using rounded buttons.</w:t>
      </w:r>
    </w:p>
    <w:p>
      <w:pPr>
        <w:pStyle w:val="ListBullet"/>
        <w:spacing w:after="60"/>
      </w:pPr>
      <w:r>
        <w:t>Assign **Page Navigation Action** to the buttons (Solvency Overview, Pricing Audit, Claims Operations).</w:t>
      </w:r>
    </w:p>
    <w:p>
      <w:pPr>
        <w:pStyle w:val="ListBullet"/>
        <w:spacing w:after="60"/>
      </w:pPr>
      <w:r>
        <w:t>Add a subtle hover effect (accent line and color shift) to the buttons so the dashboard behaves like a native web application.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