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Supplementary</w:t>
      </w:r>
      <w:r>
        <w:t xml:space="preserve"> </w:t>
      </w:r>
      <w:r>
        <w:t xml:space="preserve">Information</w:t>
      </w:r>
      <w:r>
        <w:t xml:space="preserve"> </w:t>
      </w:r>
      <w:r>
        <w:t xml:space="preserve">S2</w:t>
      </w:r>
      <w:r>
        <w:t xml:space="preserve"> </w:t>
      </w:r>
      <w:r>
        <w:t xml:space="preserve">:</w:t>
      </w:r>
      <w:r>
        <w:t xml:space="preserve"> </w:t>
      </w:r>
      <w:r>
        <w:t xml:space="preserve">Characterisation</w:t>
      </w:r>
      <w:r>
        <w:t xml:space="preserve"> </w:t>
      </w:r>
      <w:r>
        <w:t xml:space="preserve">of</w:t>
      </w:r>
      <w:r>
        <w:t xml:space="preserve"> </w:t>
      </w:r>
      <w:r>
        <w:t xml:space="preserve">root</w:t>
      </w:r>
      <w:r>
        <w:t xml:space="preserve"> </w:t>
      </w:r>
      <w:r>
        <w:t xml:space="preserve">growth</w:t>
      </w:r>
      <w:r>
        <w:t xml:space="preserve"> </w:t>
      </w:r>
      <w:r>
        <w:t xml:space="preserve">dynamics</w:t>
      </w:r>
    </w:p>
    <w:p>
      <w:pPr>
        <w:pStyle w:val="FirstParagraph"/>
      </w:pPr>
      <w:r>
        <w:rPr>
          <w:b/>
          <w:bCs/>
        </w:rPr>
        <w:t xml:space="preserve">Our objective is to differentiate between mature and growing (apex) root zones based on temporal variations in surface area</w:t>
      </w:r>
      <w:r>
        <w:t xml:space="preserve">. We operate on the assumption that root elongation and expansion occur dynamically during an initial active phase, followed by a period of physiological stabilization or growth deceleration.</w:t>
      </w:r>
    </w:p>
    <w:p>
      <w:pPr>
        <w:pStyle w:val="Corpsdetexte"/>
      </w:pPr>
      <w:r>
        <w:t xml:space="preserve">By quantifying surface area increments (</w:t>
      </w:r>
      <m:oMath>
        <m:r>
          <m:t>Δ</m:t>
        </m:r>
      </m:oMath>
      <w:r>
        <w:t xml:space="preserve">) across increasing time lags, we can identify the inflection point where the rate of new surface accumulation begins to decelerate. This threshold defines the temporal window used to distinguish</w:t>
      </w:r>
      <w:r>
        <w:t xml:space="preserve"> </w:t>
      </w:r>
      <w:r>
        <w:t xml:space="preserve">“</w:t>
      </w:r>
      <w:r>
        <w:t xml:space="preserve">newly emerged</w:t>
      </w:r>
      <w:r>
        <w:t xml:space="preserve">”</w:t>
      </w:r>
      <w:r>
        <w:t xml:space="preserve"> </w:t>
      </w:r>
      <w:r>
        <w:t xml:space="preserve">functional segments from the established root network.</w:t>
      </w:r>
    </w:p>
    <w:bookmarkStart w:id="20" w:name="surface-area-normalization"/>
    <w:p>
      <w:pPr>
        <w:pStyle w:val="Titre2"/>
      </w:pPr>
      <w:r>
        <w:t xml:space="preserve">Surface area normalization</w:t>
      </w:r>
    </w:p>
    <w:p>
      <w:pPr>
        <w:pStyle w:val="FirstParagraph"/>
      </w:pPr>
      <w:r>
        <w:t xml:space="preserve">To convert root occupancy from digital units (pixels) to physical metric units (</w:t>
      </w:r>
      <m:oMath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), we account for the scanner resolution (1200 dpi). The conversion factor is derived from the linear resolution:</w:t>
      </w:r>
      <w:r>
        <w:t xml:space="preserve"> </w:t>
      </w:r>
      <m:oMath>
        <m:r>
          <m:t>1200</m:t>
        </m:r>
        <m:r>
          <m:rPr>
            <m:nor/>
            <m:sty m:val="p"/>
          </m:rPr>
          <m:t> dpi</m:t>
        </m:r>
        <m:r>
          <m:rPr>
            <m:sty m:val="p"/>
          </m:rPr>
          <m:t>/</m:t>
        </m:r>
        <m:r>
          <m:t>2.54</m:t>
        </m:r>
        <m:r>
          <m:rPr>
            <m:nor/>
            <m:sty m:val="p"/>
          </m:rPr>
          <m:t> cm/in</m:t>
        </m:r>
        <m:r>
          <m:rPr>
            <m:sty m:val="p"/>
          </m:rPr>
          <m:t>≈</m:t>
        </m:r>
        <m:r>
          <m:t>472.44</m:t>
        </m:r>
        <m:r>
          <m:rPr>
            <m:nor/>
            <m:sty m:val="p"/>
          </m:rPr>
          <m:t> pixels/cm</m:t>
        </m:r>
      </m:oMath>
      <w:r>
        <w:t xml:space="preserve">.</w:t>
      </w:r>
    </w:p>
    <w:p>
      <w:pPr>
        <w:pStyle w:val="Corpsdetexte"/>
      </w:pPr>
      <w:r>
        <w:t xml:space="preserve">The surface area in</w:t>
      </w:r>
      <w:r>
        <w:t xml:space="preserve"> </w:t>
      </w:r>
      <m:oMath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calculated as:</w:t>
      </w:r>
    </w:p>
    <w:p>
      <w:pPr>
        <w:pStyle w:val="Corpsdetexte"/>
      </w:pPr>
      <m:oMathPara>
        <m:oMathParaPr>
          <m:jc m:val="center"/>
        </m:oMathParaPr>
        <m:oMath>
          <m:r>
            <m:t>S</m:t>
          </m:r>
          <m:r>
            <m:t>u</m:t>
          </m:r>
          <m:r>
            <m:t>r</m:t>
          </m:r>
          <m:r>
            <m:t>f</m:t>
          </m:r>
          <m:r>
            <m:t>a</m:t>
          </m:r>
          <m:r>
            <m:t>c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P</m:t>
          </m:r>
          <m:r>
            <m:t>i</m:t>
          </m:r>
          <m:r>
            <m:t>x</m:t>
          </m:r>
          <m:r>
            <m:t>e</m:t>
          </m:r>
          <m:r>
            <m:t>l</m:t>
          </m:r>
          <m:r>
            <m:t>s</m:t>
          </m:r>
          <m:r>
            <m:rPr>
              <m:sty m:val="p"/>
            </m:rPr>
            <m:t>/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472.44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bookmarkEnd w:id="20"/>
    <w:bookmarkStart w:id="24" w:name="visualization-of-root-surface-trends"/>
    <w:p>
      <w:pPr>
        <w:pStyle w:val="Titre2"/>
      </w:pPr>
      <w:r>
        <w:t xml:space="preserve">Visualization of root surface trends</w:t>
      </w:r>
    </w:p>
    <w:p>
      <w:pPr>
        <w:pStyle w:val="FirstParagraph"/>
      </w:pPr>
      <w:r>
        <w:t xml:space="preserve">The following plot displays the evolution of total root surface area across the curated image bank, faceted by scanner unit :</w:t>
      </w:r>
    </w:p>
    <w:p>
      <w:pPr>
        <w:pStyle w:val="CaptionedFigure"/>
      </w:pPr>
      <w:r>
        <w:drawing>
          <wp:inline>
            <wp:extent cx="5963478" cy="5046020"/>
            <wp:effectExtent b="0" l="0" r="0" t="0"/>
            <wp:docPr descr="Root Surface Area Evolution" title="" id="22" name="Picture"/>
            <a:graphic>
              <a:graphicData uri="http://schemas.openxmlformats.org/drawingml/2006/picture">
                <pic:pic>
                  <pic:nvPicPr>
                    <pic:cNvPr descr="2.-S2_root_parts_differentiation_files/figure-docx/initial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5046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 Surface Area Evolution</w:t>
      </w:r>
    </w:p>
    <w:bookmarkEnd w:id="24"/>
    <w:bookmarkStart w:id="28" w:name="X4a9a472f310bbdfec2c2c542d5ae23a1b31c58c"/>
    <w:p>
      <w:pPr>
        <w:pStyle w:val="Titre2"/>
      </w:pPr>
      <w:r>
        <w:t xml:space="preserve">Quantification of apex surfaces according to time lags</w:t>
      </w:r>
    </w:p>
    <w:p>
      <w:pPr>
        <w:pStyle w:val="FirstParagraph"/>
      </w:pPr>
      <w:r>
        <w:t xml:space="preserve">The difference in surface area between two successive observations represents newly emerged root tissue (the apices).</w:t>
      </w:r>
      <w:r>
        <w:t xml:space="preserve"> </w:t>
      </w:r>
      <w:r>
        <w:rPr>
          <w:b/>
          <w:bCs/>
        </w:rPr>
        <w:t xml:space="preserve">We analyzed the distribution of surface increments (</w:t>
      </w:r>
      <m:oMath>
        <m:r>
          <m:t>Δ</m:t>
        </m:r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 across intervals ranging from 6 to 720 hours (30 days)</w:t>
      </w:r>
      <w:r>
        <w:t xml:space="preserve">. We applied an Interquartile Range (IQR) filter to remove extreme outliers in surface density that could skew growth estimates. Only positive increments are retained to represent growth; negative deltas—resulting from experimental noise or root decomposition—are normalized to zero.</w:t>
      </w:r>
    </w:p>
    <w:p>
      <w:pPr>
        <w:pStyle w:val="Corpsdetexte"/>
      </w:pPr>
      <w:r>
        <w:t xml:space="preserve">The average apex areas as a function of time step are shown, along with their variability (standard deviation). An initial average is calculated by scanner, then the values are aggregated:</w:t>
      </w:r>
    </w:p>
    <w:p>
      <w:pPr>
        <w:pStyle w:val="CaptionedFigure"/>
      </w:pPr>
      <w:r>
        <w:drawing>
          <wp:inline>
            <wp:extent cx="5963478" cy="4128561"/>
            <wp:effectExtent b="0" l="0" r="0" t="0"/>
            <wp:docPr descr="Root Surface Area Evolution" title="" id="26" name="Picture"/>
            <a:graphic>
              <a:graphicData uri="http://schemas.openxmlformats.org/drawingml/2006/picture">
                <pic:pic>
                  <pic:nvPicPr>
                    <pic:cNvPr descr="2.-S2_root_parts_differentiation_files/figure-docx/plot-dynamic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 Surface Area Evolution</w:t>
      </w:r>
    </w:p>
    <w:bookmarkEnd w:id="28"/>
    <w:bookmarkStart w:id="32" w:name="X58221e0cb52e7079c7815c8ff0213709533cb9a"/>
    <w:p>
      <w:pPr>
        <w:pStyle w:val="Titre2"/>
      </w:pPr>
      <w:r>
        <w:t xml:space="preserve">Statistical Modeling and Threshold Detection</w:t>
      </w:r>
    </w:p>
    <w:p>
      <w:pPr>
        <w:numPr>
          <w:ilvl w:val="0"/>
          <w:numId w:val="1001"/>
        </w:numPr>
      </w:pPr>
      <w:r>
        <w:t xml:space="preserve">To formally identify the transition from active growth to stabilization, we employed a Generalized Additive Model (GAM), which allows for the flexible</w:t>
      </w:r>
      <w:r>
        <w:t xml:space="preserve"> </w:t>
      </w:r>
      <w:r>
        <w:rPr>
          <w:b/>
          <w:bCs/>
        </w:rPr>
        <w:t xml:space="preserve">modeling of the non-linear relationship between the time lag and the accumulated surface area of the apices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We pinpointed the growth inflection point by calculating the first derivative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) of the estimated smooth function.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first derivative represents the instantaneous rate of growth accumulation, while the inflection point is identified at the specific lag where this derivative crosses zero</w:t>
      </w:r>
      <w:r>
        <w:t xml:space="preserve">. Such a crossing into negative values indicates a distinct phase change, signaling a transition from active expansion to a growth slowdown or a net loss of visible surface area.</w:t>
      </w:r>
    </w:p>
    <w:p>
      <w:pPr>
        <w:pStyle w:val="SourceCode"/>
      </w:pPr>
      <w:r>
        <w:rPr>
          <w:rStyle w:val="VerbatimChar"/>
        </w:rPr>
        <w:t xml:space="preserve">thresholds : 9 days</w:t>
      </w:r>
    </w:p>
    <w:p>
      <w:pPr>
        <w:pStyle w:val="FirstParagraph"/>
      </w:pPr>
      <w:r>
        <w:t xml:space="preserve">The first derivative of the model reveals that the rate of accumulation decelerates sharply as it approaches the 9-day (216-hour) mark. At this temporal juncture, the growth curve transitions from an active expansion phase to a relative plateau. Beyond this 216-hour threshold, any</w:t>
      </w:r>
      <w:r>
        <w:t xml:space="preserve"> </w:t>
      </w:r>
      <w:r>
        <w:t xml:space="preserve">‘</w:t>
      </w:r>
      <w:r>
        <w:t xml:space="preserve">newly</w:t>
      </w:r>
      <w:r>
        <w:t xml:space="preserve">’</w:t>
      </w:r>
      <w:r>
        <w:t xml:space="preserve"> </w:t>
      </w:r>
      <w:r>
        <w:t xml:space="preserve">observed surface area likely reflects the stabilization of established tissue or secondary thickening rather than primary apical elongation.</w:t>
      </w:r>
    </w:p>
    <w:p>
      <w:pPr>
        <w:pStyle w:val="CaptionedFigure"/>
      </w:pPr>
      <w:r>
        <w:drawing>
          <wp:inline>
            <wp:extent cx="5963478" cy="4128561"/>
            <wp:effectExtent b="0" l="0" r="0" t="0"/>
            <wp:docPr descr="Red line indicates chosen 9-day threshold" title="" id="30" name="Picture"/>
            <a:graphic>
              <a:graphicData uri="http://schemas.openxmlformats.org/drawingml/2006/picture">
                <pic:pic>
                  <pic:nvPicPr>
                    <pic:cNvPr descr="2.-S2_root_parts_differentiation_files/figure-docx/plot-derivative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Red line indicates chosen 9-day threshold</w:t>
      </w:r>
    </w:p>
    <w:p>
      <w:pPr>
        <w:pStyle w:val="Corpsdetexte"/>
      </w:pPr>
      <w:r>
        <w:t xml:space="preserve">Estimated First Derivative of Growth Curve</w:t>
      </w:r>
    </w:p>
    <w:p>
      <w:pPr>
        <w:pStyle w:val="Corpsdetexte"/>
      </w:pPr>
      <w:r>
        <w:rPr>
          <w:b/>
          <w:bCs/>
        </w:rPr>
        <w:t xml:space="preserve">This 9-day interval serves as a functional boundary to distinguish highly active apical zones from more stable, mature root segments.</w:t>
      </w:r>
    </w:p>
    <w:bookmarkEnd w:id="32"/>
    <w:sectPr w:rsidR="00222FC8" w:rsidRPr="00190D94">
      <w:pgSz w:h="15840" w:w="12240"/>
      <w:pgMar w:bottom="1417" w:footer="720" w:gutter="0" w:header="720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7916D5D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FC8"/>
    <w:rsid w:val="00190D94"/>
    <w:rsid w:val="00222FC8"/>
    <w:rsid w:val="00990DA5"/>
    <w:rsid w:val="00B5502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Arial" w:eastAsia="Times New Roman" w:hAnsi="Arial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pPr>
      <w:keepNext/>
      <w:keepLines/>
      <w:spacing w:after="120" w:before="360"/>
      <w:outlineLvl w:val="0"/>
    </w:pPr>
    <w:rPr>
      <w:b/>
      <w:bCs/>
      <w:color w:val="000000"/>
      <w:sz w:val="30"/>
      <w:szCs w:val="30"/>
    </w:rPr>
  </w:style>
  <w:style w:styleId="Titre2" w:type="paragraph">
    <w:name w:val="heading 2"/>
    <w:basedOn w:val="Normal"/>
    <w:next w:val="Corpsdetexte"/>
    <w:uiPriority w:val="9"/>
    <w:unhideWhenUsed/>
    <w:qFormat/>
    <w:pPr>
      <w:keepNext/>
      <w:keepLines/>
      <w:spacing w:after="80" w:before="240"/>
      <w:outlineLvl w:val="1"/>
    </w:pPr>
    <w:rPr>
      <w:b/>
      <w:bCs/>
      <w:color w:val="000000"/>
      <w:sz w:val="26"/>
      <w:szCs w:val="26"/>
    </w:rPr>
  </w:style>
  <w:style w:styleId="Titre3" w:type="paragraph">
    <w:name w:val="heading 3"/>
    <w:basedOn w:val="Normal"/>
    <w:next w:val="Corpsdetexte"/>
    <w:uiPriority w:val="9"/>
    <w:unhideWhenUsed/>
    <w:qFormat/>
    <w:pPr>
      <w:keepNext/>
      <w:keepLines/>
      <w:spacing w:after="0" w:before="200"/>
      <w:outlineLvl w:val="2"/>
    </w:pPr>
    <w:rPr>
      <w:b/>
      <w:bCs/>
      <w:color w:val="000000"/>
      <w:sz w:val="24"/>
      <w:szCs w:val="24"/>
    </w:rPr>
  </w:style>
  <w:style w:styleId="Titre4" w:type="paragraph">
    <w:name w:val="heading 4"/>
    <w:basedOn w:val="Normal"/>
    <w:next w:val="Corpsdetexte"/>
    <w:uiPriority w:val="9"/>
    <w:unhideWhenUsed/>
    <w:qFormat/>
    <w:pPr>
      <w:keepNext/>
      <w:keepLines/>
      <w:spacing w:after="0" w:before="200"/>
      <w:outlineLvl w:val="3"/>
    </w:pPr>
    <w:rPr>
      <w:bCs/>
      <w:i/>
      <w:color w:val="000000"/>
      <w:sz w:val="24"/>
      <w:szCs w:val="24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iCs/>
      <w:color w:val="000000"/>
      <w:sz w:val="24"/>
      <w:szCs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color w:val="000000"/>
      <w:sz w:val="24"/>
      <w:szCs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color w:val="000000"/>
      <w:sz w:val="24"/>
      <w:szCs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color w:val="000000"/>
      <w:sz w:val="24"/>
      <w:szCs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color w:val="000000"/>
      <w:sz w:val="24"/>
      <w:szCs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pPr>
      <w:keepNext/>
      <w:keepLines/>
      <w:spacing w:after="120" w:before="480"/>
    </w:pPr>
    <w:rPr>
      <w:b/>
      <w:bCs/>
      <w:color w:val="000000"/>
      <w:sz w:val="40"/>
      <w:szCs w:val="40"/>
    </w:rPr>
  </w:style>
  <w:style w:styleId="Sous-titre" w:type="paragraph">
    <w:name w:val="Subtitle"/>
    <w:basedOn w:val="Titre"/>
    <w:next w:val="Corpsdetexte"/>
    <w:qFormat/>
    <w:pPr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000000"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val="0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S2 : Characterisation of root growth dynamics</dc:title>
  <dc:creator/>
  <cp:keywords/>
  <dcterms:created xsi:type="dcterms:W3CDTF">2026-06-09T08:21:41Z</dcterms:created>
  <dcterms:modified xsi:type="dcterms:W3CDTF">2026-06-09T08:21:41Z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