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1.png" ContentType="image/png"/>
  <Override PartName="/word/media/rId68.png" ContentType="image/png"/>
  <Override PartName="/word/media/rId72.png" ContentType="image/png"/>
  <Override PartName="/word/media/rId22.png" ContentType="image/png"/>
  <Override PartName="/word/media/rId60.png" ContentType="image/png"/>
  <Override PartName="/word/media/rId37.png" ContentType="image/png"/>
  <Override PartName="/word/media/rId26.png" ContentType="image/png"/>
  <Override PartName="/word/media/rId32.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w:t>
      </w:r>
      <w:r>
        <w:t xml:space="preserve"> </w:t>
      </w:r>
      <w:r>
        <w:t xml:space="preserve">Information</w:t>
      </w:r>
      <w:r>
        <w:t xml:space="preserve"> </w:t>
      </w:r>
      <w:r>
        <w:t xml:space="preserve">S3</w:t>
      </w:r>
      <w:r>
        <w:t xml:space="preserve"> </w:t>
      </w:r>
      <w:r>
        <w:t xml:space="preserve">:</w:t>
      </w:r>
      <w:r>
        <w:t xml:space="preserve"> </w:t>
      </w:r>
      <w:r>
        <w:t xml:space="preserve">Sensitivity</w:t>
      </w:r>
      <w:r>
        <w:t xml:space="preserve"> </w:t>
      </w:r>
      <w:r>
        <w:t xml:space="preserve">analysis</w:t>
      </w:r>
    </w:p>
    <w:bookmarkStart w:id="20" w:name="executive-summary"/>
    <w:p>
      <w:pPr>
        <w:pStyle w:val="Titre2"/>
      </w:pPr>
      <w:r>
        <w:t xml:space="preserve">Executive Summary</w:t>
      </w:r>
    </w:p>
    <w:p>
      <w:pPr>
        <w:pStyle w:val="FirstParagraph"/>
      </w:pPr>
      <w:r>
        <w:t xml:space="preserve">This study investigates the spatial behavior of soil fauna in relation to root systems, challenging the notion of the rhizosphere as a simple, static attraction zone. By integrating null model simulations with Generalized Additive Models (GAMs), we decouple biological selection from physical habitat constraints and reveal that the demographic benefits of rhizosphere exploitation are governed by a distinct temporal lag.</w:t>
      </w:r>
    </w:p>
    <w:bookmarkEnd w:id="20"/>
    <w:bookmarkStart w:id="31" w:name="raw-data-exploration"/>
    <w:p>
      <w:pPr>
        <w:pStyle w:val="Titre2"/>
      </w:pPr>
      <w:r>
        <w:t xml:space="preserve">0. Raw data exploration</w:t>
      </w:r>
    </w:p>
    <w:tbl>
      <w:tblPr>
        <w:tblStyle w:val="Table"/>
        <w:tblW w:type="pct" w:w="5000"/>
        <w:tblLayout w:type="fixed"/>
        <w:tblLook w:firstRow="0" w:lastRow="0" w:firstColumn="0" w:lastColumn="0" w:noHBand="0" w:noVBand="0" w:val="0000"/>
      </w:tblPr>
      <w:tblGrid>
        <w:gridCol w:w="7920"/>
      </w:tblGrid>
      <w:tr>
        <w:tc>
          <w:tcPr/>
          <w:bookmarkStart w:id="21" w:name="tbl-summary-raw-data"/>
          <w:p>
            <w:pPr>
              <w:jc w:val="center"/>
            </w:pPr>
            <w:pPr>
              <w:jc w:val="start"/>
              <w:spacing w:before="200"/>
              <w:pStyle w:val="ImageCaption"/>
            </w:pPr>
            <w:r>
              <w:t xml:space="preserve">Table 1: Summary of invertebrates occurrences and sampling effort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728"/>
              <w:gridCol w:w="1728"/>
              <w:gridCol w:w="2304"/>
            </w:tblGrid>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Biological Data</w:t>
                  </w:r>
                </w:p>
              </w:tc>
              <w:tc>
                <w:tcPr>
                  <w:gridSpan w:val="2"/>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Sampling Effort</w:t>
                  </w:r>
                </w:p>
              </w:tc>
            </w:tr>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Taxon</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Total occurrences</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Sample images</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Mean occurrence per image</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acari</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429</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264</w:t>
                  </w:r>
                </w:p>
              </w:tc>
              <w:tc>
                <w:tcPr>
                  <w:tcBorders>
                    <w:bottom w:val="single" w:sz="4" w:space="0" w:color="999999"/>
                    <w:top w:val="single" w:sz="8" w:space="0" w:color="000000"/>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1.62</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collembola</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1,991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444</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4.48</w:t>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gastropoda</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994</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316</w:t>
                  </w:r>
                </w:p>
              </w:tc>
              <w:tc>
                <w:tcPr>
                  <w:tcBorders>
                    <w:bottom w:val="single" w:sz="8" w:space="0" w:color="000000"/>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3.15</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64"/>
                    <w:ind w:left="80" w:right="80" w:firstLine="0" w:firstLineChars="0"/>
                    <w:rPr>
                      <w:rFonts w:ascii="Arial" w:hAnsi="DejaVu Sans" w:eastAsia="DejaVu Sans" w:cs="DejaVu Sans"/>
                      <w:i w:val="true"/>
                      <w:b w:val="false"/>
                      <w:u w:val="none"/>
                      <w:strike w:val="false"/>
                      <w:sz w:val="16"/>
                      <w:szCs w:val="16"/>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true"/>
                      <w:b w:val="false"/>
                      <w:u w:val="none"/>
                      <w:strike w:val="false"/>
                      <w:sz w:val="16"/>
                      <w:szCs w:val="16"/>
                      <w:color w:val="666666"/>
                    </w:rPr>
                    <w:t xml:space="preserve">Total unique images analyzed:  541</w:t>
                  </w:r>
                </w:p>
              </w:tc>
            </w:tr>
            <w:tr>
              <w:trPr>
                <w:cantSplit/>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64"/>
                    <w:ind w:left="80" w:right="80" w:firstLine="0" w:firstLineChars="0"/>
                    <w:rPr>
                      <w:rFonts w:ascii="Arial" w:hAnsi="DejaVu Sans" w:eastAsia="DejaVu Sans" w:cs="DejaVu Sans"/>
                      <w:i w:val="true"/>
                      <w:b w:val="false"/>
                      <w:u w:val="none"/>
                      <w:strike w:val="false"/>
                      <w:sz w:val="16"/>
                      <w:szCs w:val="16"/>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true"/>
                      <w:b w:val="false"/>
                      <w:u w:val="none"/>
                      <w:strike w:val="false"/>
                      <w:sz w:val="16"/>
                      <w:szCs w:val="16"/>
                      <w:color w:val="666666"/>
                    </w:rPr>
                    <w:t xml:space="preserve">Total scanner units:  8</w:t>
                  </w:r>
                </w:p>
              </w:tc>
            </w:tr>
            <w:tr>
              <w:trPr>
                <w:cantSplit/>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64"/>
                    <w:ind w:left="80" w:right="80" w:firstLine="0" w:firstLineChars="0"/>
                    <w:rPr>
                      <w:rFonts w:ascii="Arial" w:hAnsi="DejaVu Sans" w:eastAsia="DejaVu Sans" w:cs="DejaVu Sans"/>
                      <w:i w:val="true"/>
                      <w:b w:val="false"/>
                      <w:u w:val="none"/>
                      <w:strike w:val="false"/>
                      <w:sz w:val="16"/>
                      <w:szCs w:val="16"/>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true"/>
                      <w:b w:val="false"/>
                      <w:u w:val="none"/>
                      <w:strike w:val="false"/>
                      <w:sz w:val="16"/>
                      <w:szCs w:val="16"/>
                      <w:color w:val="666666"/>
                    </w:rPr>
                    <w:t xml:space="preserve">Total period units:  7</w:t>
                  </w:r>
                </w:p>
              </w:tc>
            </w:tr>
          </w:tbl>
          <w:bookmarkEnd w:id="21"/>
        </w:tc>
      </w:tr>
    </w:tbl>
    <w:tbl>
      <w:tblPr>
        <w:tblStyle w:val="Table"/>
        <w:tblW w:type="pct" w:w="5000"/>
        <w:tblLayout w:type="fixed"/>
        <w:tblLook w:firstRow="0" w:lastRow="0" w:firstColumn="0" w:lastColumn="0" w:noHBand="0" w:noVBand="0" w:val="0000"/>
      </w:tblPr>
      <w:tblGrid>
        <w:gridCol w:w="7920"/>
      </w:tblGrid>
      <w:tr>
        <w:tc>
          <w:tcPr/>
          <w:bookmarkStart w:id="25" w:name="fig-enhanced-effort-matrix"/>
          <w:p>
            <w:pPr>
              <w:pStyle w:val="Compact"/>
              <w:jc w:val="center"/>
            </w:pPr>
            <w:r>
              <w:drawing>
                <wp:inline>
                  <wp:extent cx="5969000" cy="3410857"/>
                  <wp:effectExtent b="0" l="0" r="0" t="0"/>
                  <wp:docPr descr="" title="" id="23" name="Picture"/>
                  <a:graphic>
                    <a:graphicData uri="http://schemas.openxmlformats.org/drawingml/2006/picture">
                      <pic:pic>
                        <pic:nvPicPr>
                          <pic:cNvPr descr="6.-S3_data_analysis_files/figure-docx/fig-enhanced-effort-matrix-1.png" id="24" name="Picture"/>
                          <pic:cNvPicPr>
                            <a:picLocks noChangeArrowheads="1" noChangeAspect="1"/>
                          </pic:cNvPicPr>
                        </pic:nvPicPr>
                        <pic:blipFill>
                          <a:blip r:embed="rId22"/>
                          <a:stretch>
                            <a:fillRect/>
                          </a:stretch>
                        </pic:blipFill>
                        <pic:spPr bwMode="auto">
                          <a:xfrm>
                            <a:off x="0" y="0"/>
                            <a:ext cx="5969000" cy="34108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Spatio-temporal sampling effort :</w:t>
            </w:r>
            <w:r>
              <w:t xml:space="preserve"> </w:t>
            </w:r>
            <w:r>
              <w:t xml:space="preserve">total images analyzed per scanner and period</w:t>
            </w:r>
          </w:p>
          <w:bookmarkEnd w:id="25"/>
        </w:tc>
      </w:tr>
    </w:tbl>
    <w:tbl>
      <w:tblPr>
        <w:tblStyle w:val="Table"/>
        <w:tblW w:type="pct" w:w="5000"/>
        <w:tblLayout w:type="fixed"/>
        <w:tblLook w:firstRow="0" w:lastRow="0" w:firstColumn="0" w:lastColumn="0" w:noHBand="0" w:noVBand="0" w:val="0000"/>
      </w:tblPr>
      <w:tblGrid>
        <w:gridCol w:w="7920"/>
      </w:tblGrid>
      <w:tr>
        <w:tc>
          <w:tcPr/>
          <w:bookmarkStart w:id="30" w:name="fig-metric-variability"/>
          <w:tbl>
            <w:tblPr>
              <w:tblStyle w:val="Table"/>
              <w:tblW w:type="pct" w:w="5000"/>
              <w:tblLayout w:type="fixed"/>
              <w:tblLook w:firstRow="0" w:lastRow="0" w:firstColumn="0" w:lastColumn="0" w:noHBand="0" w:noVBand="0" w:val="0000"/>
            </w:tblPr>
            <w:tblGrid>
              <w:gridCol w:w="7920"/>
            </w:tblGrid>
            <w:tr>
              <w:tc>
                <w:tcPr/>
                <w:bookmarkStart w:id="29" w:name="fig-metric-variability"/>
                <w:p>
                  <w:pPr>
                    <w:pStyle w:val="Compact"/>
                    <w:jc w:val="center"/>
                    <w:jc w:val="center"/>
                  </w:pPr>
                  <w:r>
                    <w:drawing>
                      <wp:inline>
                        <wp:extent cx="5969000" cy="4476749"/>
                        <wp:effectExtent b="0" l="0" r="0" t="0"/>
                        <wp:docPr descr="" title="" id="27" name="Picture"/>
                        <a:graphic>
                          <a:graphicData uri="http://schemas.openxmlformats.org/drawingml/2006/picture">
                            <pic:pic>
                              <pic:nvPicPr>
                                <pic:cNvPr descr="6.-S3_data_analysis_files/figure-docx/fig-metric-variability-1.png" id="28" name="Picture"/>
                                <pic:cNvPicPr>
                                  <a:picLocks noChangeArrowheads="1" noChangeAspect="1"/>
                                </pic:cNvPicPr>
                              </pic:nvPicPr>
                              <pic:blipFill>
                                <a:blip r:embed="rId26"/>
                                <a:stretch>
                                  <a:fillRect/>
                                </a:stretch>
                              </pic:blipFill>
                              <pic:spPr bwMode="auto">
                                <a:xfrm>
                                  <a:off x="0" y="0"/>
                                  <a:ext cx="5969000" cy="4476749"/>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Rows: Biological and Environmental metrics | Columns: Spatial replicates (Scanners)</w:t>
                  </w:r>
                </w:p>
                <w:bookmarkEnd w:id="29"/>
              </w:tc>
            </w:tr>
          </w:tbl>
          <w:p>
            <w:pPr>
              <w:jc w:val="center"/>
            </w:pPr>
            <w:pPr>
              <w:jc w:val="start"/>
              <w:spacing w:before="200"/>
              <w:pStyle w:val="ImageCaption"/>
            </w:pPr>
            <w:r>
              <w:t xml:space="preserve">Figure 2: Replicate-level variability of studied metrics</w:t>
            </w:r>
          </w:p>
          <w:bookmarkEnd w:id="30"/>
        </w:tc>
      </w:tr>
    </w:tbl>
    <w:bookmarkEnd w:id="31"/>
    <w:bookmarkStart w:id="43" w:name="Xb2a889755c34ca1cc02a35205cc6f4d584590e3"/>
    <w:p>
      <w:pPr>
        <w:pStyle w:val="Titre2"/>
      </w:pPr>
      <w:r>
        <w:t xml:space="preserve">1. The rhizosphere effect: attraction and spatial signature</w:t>
      </w:r>
    </w:p>
    <w:p>
      <w:pPr>
        <w:pStyle w:val="Normalcentr"/>
      </w:pPr>
      <w:r>
        <w:t xml:space="preserve">To quantify habitat selection, we adapted techniques widely used in radio-tracking studies (Calenge et al. 2005) based on the notion of marginality (the deviation between available habitat conditions and those used by animals). We overlaid invertebrate occurrence data onto high-resolution root distance maps, calculating the distance from each individual’s centroid detection to the nearest root. To characterize habitat availability, we projected 50 random points onto the corresponding root distance map for every invertebrate occurrence. We then derived the Standardized Effect Size (SES) for marginality index (a.k.a., Z-score) by calculating the deviation of the observed distance from the mean null expected distance, scaled by the expected standard deviation. This index serves as a measure of spatial marginality, where negative values indicate organisms are closer to roots than expected by chance and positive values indicate they are farther than expected relative to a random distribution. Hereafter, we use the terms</w:t>
      </w:r>
      <w:r>
        <w:t xml:space="preserve"> </w:t>
      </w:r>
      <w:r>
        <w:t xml:space="preserve">‘</w:t>
      </w:r>
      <w:r>
        <w:t xml:space="preserve">selection</w:t>
      </w:r>
      <w:r>
        <w:t xml:space="preserve">’</w:t>
      </w:r>
      <w:r>
        <w:t xml:space="preserve"> </w:t>
      </w:r>
      <w:r>
        <w:t xml:space="preserve">and</w:t>
      </w:r>
      <w:r>
        <w:t xml:space="preserve"> </w:t>
      </w:r>
      <w:r>
        <w:t xml:space="preserve">‘</w:t>
      </w:r>
      <w:r>
        <w:t xml:space="preserve">avoidance</w:t>
      </w:r>
      <w:r>
        <w:t xml:space="preserve">’</w:t>
      </w:r>
      <w:r>
        <w:t xml:space="preserve"> </w:t>
      </w:r>
      <w:r>
        <w:t xml:space="preserve">in a strictly statistical sense to denote consistent negative or positive spatial deviations from the null expectation, respectively; these terms describe observed spatial patterns and do not imply intentional or fitness-driven behavioral choices.</w:t>
      </w:r>
    </w:p>
    <w:bookmarkStart w:id="36" w:name="X09785a2785654d88b9c00d4bf5bfbd0be214ff8"/>
    <w:p>
      <w:pPr>
        <w:pStyle w:val="Titre3"/>
      </w:pPr>
      <w:r>
        <w:rPr>
          <w:b/>
          <w:bCs/>
        </w:rPr>
        <w:t xml:space="preserve">Why use Z-scores instead of simple differences?</w:t>
      </w:r>
    </w:p>
    <w:p>
      <w:pPr>
        <w:pStyle w:val="FirstParagraph"/>
      </w:pPr>
      <w:r>
        <w:t xml:space="preserve">To evaluate whether soil fauna actively select the rhizosphere, we must distinguish between biological attraction and spatial chance. We utilized a standardized selection index (</w:t>
      </w:r>
      <m:oMath>
        <m:r>
          <m:t>z</m:t>
        </m:r>
      </m:oMath>
      <w:r>
        <w:t xml:space="preserve">-score) calculated as:</w:t>
      </w:r>
    </w:p>
    <w:p>
      <w:pPr>
        <w:pStyle w:val="Corpsdetexte"/>
      </w:pPr>
      <m:oMathPara>
        <m:oMathParaPr>
          <m:jc m:val="center"/>
        </m:oMathParaPr>
        <m:oMath>
          <m:r>
            <m:t>z</m:t>
          </m:r>
          <m:r>
            <m:rPr>
              <m:sty m:val="p"/>
            </m:rPr>
            <m:t>=</m:t>
          </m:r>
          <m:f>
            <m:fPr>
              <m:type m:val="bar"/>
            </m:fPr>
            <m:num>
              <m:r>
                <m:t>O</m:t>
              </m:r>
              <m:r>
                <m:t>b</m:t>
              </m:r>
              <m:r>
                <m:t>s</m:t>
              </m:r>
              <m:r>
                <m:t>e</m:t>
              </m:r>
              <m:r>
                <m:t>r</m:t>
              </m:r>
              <m:r>
                <m:t>v</m:t>
              </m:r>
              <m:r>
                <m:t>e</m:t>
              </m:r>
              <m:r>
                <m:t>d</m:t>
              </m:r>
              <m:r>
                <m:rPr>
                  <m:sty m:val="p"/>
                </m:rPr>
                <m:t>−</m:t>
              </m:r>
              <m:r>
                <m:t>E</m:t>
              </m:r>
              <m:r>
                <m:t>x</m:t>
              </m:r>
              <m:r>
                <m:t>p</m:t>
              </m:r>
              <m:r>
                <m:t>e</m:t>
              </m:r>
              <m:r>
                <m:t>c</m:t>
              </m:r>
              <m:r>
                <m:t>t</m:t>
              </m:r>
              <m:r>
                <m:t>e</m:t>
              </m:r>
              <m:r>
                <m:t>d</m:t>
              </m:r>
            </m:num>
            <m:den>
              <m:r>
                <m:t>S</m:t>
              </m:r>
              <m:sSub>
                <m:e>
                  <m:r>
                    <m:t>D</m:t>
                  </m:r>
                </m:e>
                <m:sub>
                  <m:r>
                    <m:t>e</m:t>
                  </m:r>
                  <m:r>
                    <m:t>x</m:t>
                  </m:r>
                  <m:r>
                    <m:t>p</m:t>
                  </m:r>
                  <m:r>
                    <m:t>e</m:t>
                  </m:r>
                  <m:r>
                    <m:t>c</m:t>
                  </m:r>
                  <m:r>
                    <m:t>t</m:t>
                  </m:r>
                  <m:r>
                    <m:t>e</m:t>
                  </m:r>
                  <m:r>
                    <m:t>d</m:t>
                  </m:r>
                </m:sub>
              </m:sSub>
            </m:den>
          </m:f>
        </m:oMath>
      </m:oMathPara>
    </w:p>
    <w:p>
      <w:pPr>
        <w:pStyle w:val="FirstParagraph"/>
      </w:pPr>
      <w:r>
        <w:t xml:space="preserve">A simple arithmetic difference (</w:t>
      </w:r>
      <m:oMath>
        <m:r>
          <m:t>O</m:t>
        </m:r>
        <m:r>
          <m:t>b</m:t>
        </m:r>
        <m:r>
          <m:t>s</m:t>
        </m:r>
        <m:r>
          <m:t>e</m:t>
        </m:r>
        <m:r>
          <m:t>r</m:t>
        </m:r>
        <m:r>
          <m:t>v</m:t>
        </m:r>
        <m:r>
          <m:t>e</m:t>
        </m:r>
        <m:r>
          <m:t>d</m:t>
        </m:r>
        <m:r>
          <m:rPr>
            <m:sty m:val="p"/>
          </m:rPr>
          <m:t>−</m:t>
        </m:r>
        <m:r>
          <m:t>E</m:t>
        </m:r>
        <m:r>
          <m:t>x</m:t>
        </m:r>
        <m:r>
          <m:t>p</m:t>
        </m:r>
        <m:r>
          <m:t>e</m:t>
        </m:r>
        <m:r>
          <m:t>c</m:t>
        </m:r>
        <m:r>
          <m:t>t</m:t>
        </m:r>
        <m:r>
          <m:t>e</m:t>
        </m:r>
        <m:r>
          <m:t>d</m:t>
        </m:r>
      </m:oMath>
      <w:r>
        <w:t xml:space="preserve">) is statistically flawed for comparing different habitats due to scaling bias. The</w:t>
      </w:r>
      <w:r>
        <w:t xml:space="preserve"> </w:t>
      </w:r>
      <w:r>
        <w:t xml:space="preserve">“</w:t>
      </w:r>
      <w:r>
        <w:t xml:space="preserve">randomness</w:t>
      </w:r>
      <w:r>
        <w:t xml:space="preserve">”</w:t>
      </w:r>
      <w:r>
        <w:t xml:space="preserve"> </w:t>
      </w:r>
      <w:r>
        <w:t xml:space="preserve">of an animal’s position is dictated by the underlying geometry complexity of the habitat, captured by the integrated spatial sd (</w:t>
      </w:r>
      <m:oMath>
        <m:r>
          <m:t>S</m:t>
        </m:r>
        <m:sSub>
          <m:e>
            <m:r>
              <m:t>D</m:t>
            </m:r>
          </m:e>
          <m:sub>
            <m:r>
              <m:t>e</m:t>
            </m:r>
            <m:r>
              <m:t>x</m:t>
            </m:r>
            <m:r>
              <m:t>p</m:t>
            </m:r>
            <m:r>
              <m:t>e</m:t>
            </m:r>
            <m:r>
              <m:t>c</m:t>
            </m:r>
            <m:r>
              <m:t>t</m:t>
            </m:r>
            <m:r>
              <m:t>e</m:t>
            </m:r>
            <m:r>
              <m:t>d</m:t>
            </m:r>
          </m:sub>
        </m:sSub>
      </m:oMath>
      <w:r>
        <w:t xml:space="preserve">). If we rely on unnormalized differences, we encounter two major issues:</w:t>
      </w:r>
    </w:p>
    <w:p>
      <w:pPr>
        <w:numPr>
          <w:ilvl w:val="0"/>
          <w:numId w:val="1001"/>
        </w:numPr>
      </w:pPr>
      <w:r>
        <w:t xml:space="preserve">Scale sensitivity: A 1cm deviation is a massive biological signal in a dense, low-sd root system, but merely</w:t>
      </w:r>
      <w:r>
        <w:t xml:space="preserve"> </w:t>
      </w:r>
      <w:r>
        <w:t xml:space="preserve">“</w:t>
      </w:r>
      <w:r>
        <w:t xml:space="preserve">statistical noise</w:t>
      </w:r>
      <w:r>
        <w:t xml:space="preserve">”</w:t>
      </w:r>
      <w:r>
        <w:t xml:space="preserve"> </w:t>
      </w:r>
      <w:r>
        <w:t xml:space="preserve">in a sparse, high-sd environment.</w:t>
      </w:r>
    </w:p>
    <w:p>
      <w:pPr>
        <w:numPr>
          <w:ilvl w:val="0"/>
          <w:numId w:val="1001"/>
        </w:numPr>
      </w:pPr>
      <w:r>
        <w:t xml:space="preserve">Heteroscedasticity: As shown in the following</w:t>
      </w:r>
      <w:r>
        <w:t xml:space="preserve"> </w:t>
      </w:r>
      <w:r>
        <w:t xml:space="preserve">“</w:t>
      </w:r>
      <w:r>
        <w:t xml:space="preserve">unnormalized signal</w:t>
      </w:r>
      <w:r>
        <w:t xml:space="preserve">”</w:t>
      </w:r>
      <w:r>
        <w:t xml:space="preserve"> </w:t>
      </w:r>
      <w:r>
        <w:t xml:space="preserve">plot, the variance of the raw difference expands as spatial uncertainty increases. This fan shape indicates that the metric’s reliability is inconsistent across the dataset.</w:t>
      </w:r>
    </w:p>
    <w:tbl>
      <w:tblPr>
        <w:tblStyle w:val="Table"/>
        <w:tblW w:type="pct" w:w="5000"/>
        <w:tblLayout w:type="fixed"/>
        <w:tblLook w:firstRow="0" w:lastRow="0" w:firstColumn="0" w:lastColumn="0" w:noHBand="0" w:noVBand="0" w:val="0000"/>
      </w:tblPr>
      <w:tblGrid>
        <w:gridCol w:w="7920"/>
      </w:tblGrid>
      <w:tr>
        <w:tc>
          <w:tcPr/>
          <w:bookmarkStart w:id="35" w:name="fig-normalization-comparison"/>
          <w:p>
            <w:pPr>
              <w:pStyle w:val="Compact"/>
              <w:jc w:val="center"/>
            </w:pPr>
            <w:r>
              <w:drawing>
                <wp:inline>
                  <wp:extent cx="5969000" cy="3581399"/>
                  <wp:effectExtent b="0" l="0" r="0" t="0"/>
                  <wp:docPr descr="" title="" id="33" name="Picture"/>
                  <a:graphic>
                    <a:graphicData uri="http://schemas.openxmlformats.org/drawingml/2006/picture">
                      <pic:pic>
                        <pic:nvPicPr>
                          <pic:cNvPr descr="6.-S3_data_analysis_files/figure-docx/fig-normalization-comparison-1.png" id="34" name="Picture"/>
                          <pic:cNvPicPr>
                            <a:picLocks noChangeArrowheads="1" noChangeAspect="1"/>
                          </pic:cNvPicPr>
                        </pic:nvPicPr>
                        <pic:blipFill>
                          <a:blip r:embed="rId32"/>
                          <a:stretch>
                            <a:fillRect/>
                          </a:stretch>
                        </pic:blipFill>
                        <pic:spPr bwMode="auto">
                          <a:xfrm>
                            <a:off x="0" y="0"/>
                            <a:ext cx="5969000" cy="35813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Normalization comparison</w:t>
            </w:r>
          </w:p>
          <w:bookmarkEnd w:id="35"/>
        </w:tc>
      </w:tr>
    </w:tbl>
    <w:p>
      <w:pPr>
        <w:pStyle w:val="Corpsdetexte"/>
      </w:pPr>
      <w:r>
        <w:t xml:space="preserve">The</w:t>
      </w:r>
      <w:r>
        <w:t xml:space="preserve"> </w:t>
      </w:r>
      <w:r>
        <w:t xml:space="preserve">“</w:t>
      </w:r>
      <w:r>
        <w:t xml:space="preserve">normalized signal</w:t>
      </w:r>
      <w:r>
        <w:t xml:space="preserve">”</w:t>
      </w:r>
      <w:r>
        <w:t xml:space="preserve"> </w:t>
      </w:r>
      <w:r>
        <w:t xml:space="preserve">plot shows that the</w:t>
      </w:r>
      <w:r>
        <w:t xml:space="preserve"> </w:t>
      </w:r>
      <m:oMath>
        <m:r>
          <m:t>z</m:t>
        </m:r>
      </m:oMath>
      <w:r>
        <w:t xml:space="preserve">-score remains more stable across the whole range of spatial complexities. This process tend to filters out stochastic noise and ensuring that a high negative</w:t>
      </w:r>
      <w:r>
        <w:t xml:space="preserve"> </w:t>
      </w:r>
      <m:oMath>
        <m:r>
          <m:t>z</m:t>
        </m:r>
      </m:oMath>
      <w:r>
        <w:t xml:space="preserve">-score consistently indicates a biological</w:t>
      </w:r>
      <w:r>
        <w:t xml:space="preserve"> </w:t>
      </w:r>
      <w:r>
        <w:t xml:space="preserve">“</w:t>
      </w:r>
      <w:r>
        <w:t xml:space="preserve">pull</w:t>
      </w:r>
      <w:r>
        <w:t xml:space="preserve">”</w:t>
      </w:r>
      <w:r>
        <w:t xml:space="preserve"> </w:t>
      </w:r>
      <w:r>
        <w:t xml:space="preserve">toward the root, regardless of the complexity of the habitat.</w:t>
      </w:r>
    </w:p>
    <w:bookmarkEnd w:id="36"/>
    <w:bookmarkStart w:id="42" w:name="X3b4dd89d746d1bc6a8928d7757cfa84b997ee3d"/>
    <w:p>
      <w:pPr>
        <w:pStyle w:val="Titre3"/>
      </w:pPr>
      <w:r>
        <w:rPr>
          <w:b/>
          <w:bCs/>
        </w:rPr>
        <w:t xml:space="preserve">Do soil fauna actively select the rhizosphere space ?</w:t>
      </w:r>
    </w:p>
    <w:p>
      <w:pPr>
        <w:pStyle w:val="FirstParagraph"/>
      </w:pPr>
      <w:r>
        <w:t xml:space="preserve">The central hypothesis of this study, which concerns the influence of roots on the spatial distribution of soil invertebrates, was first examined by testing for departures from random root-associated habitat use. Normalized marginality values were tested against zero using Wilcoxon signed-rank tests. Given the hypothesized functional specificities of organisms and root traits, these tests were conducted independently for each invertebrate taxon and root functional category.</w:t>
      </w:r>
    </w:p>
    <w:tbl>
      <w:tblPr>
        <w:tblStyle w:val="Table"/>
        <w:tblW w:type="pct" w:w="5000"/>
        <w:tblLayout w:type="fixed"/>
        <w:tblLook w:firstRow="0" w:lastRow="0" w:firstColumn="0" w:lastColumn="0" w:noHBand="0" w:noVBand="0" w:val="0000"/>
      </w:tblPr>
      <w:tblGrid>
        <w:gridCol w:w="7920"/>
      </w:tblGrid>
      <w:tr>
        <w:tc>
          <w:tcPr/>
          <w:bookmarkStart w:id="41" w:name="fig-global-attraction"/>
          <w:tbl>
            <w:tblPr>
              <w:tblStyle w:val="Table"/>
              <w:tblW w:type="pct" w:w="5000"/>
              <w:tblLayout w:type="fixed"/>
              <w:tblLook w:firstRow="0" w:lastRow="0" w:firstColumn="0" w:lastColumn="0" w:noHBand="0" w:noVBand="0" w:val="0000"/>
            </w:tblPr>
            <w:tblGrid>
              <w:gridCol w:w="7920"/>
            </w:tblGrid>
            <w:tr>
              <w:tc>
                <w:tcPr/>
                <w:bookmarkStart w:id="40" w:name="fig-global-attraction"/>
                <w:p>
                  <w:pPr>
                    <w:pStyle w:val="Compact"/>
                    <w:jc w:val="center"/>
                    <w:jc w:val="center"/>
                  </w:pPr>
                  <w:r>
                    <w:drawing>
                      <wp:inline>
                        <wp:extent cx="4587290" cy="3669832"/>
                        <wp:effectExtent b="0" l="0" r="0" t="0"/>
                        <wp:docPr descr="" title="" id="38" name="Picture"/>
                        <a:graphic>
                          <a:graphicData uri="http://schemas.openxmlformats.org/drawingml/2006/picture">
                            <pic:pic>
                              <pic:nvPicPr>
                                <pic:cNvPr descr="6.-S3_data_analysis_files/figure-docx/fig-global-attraction-1.png" id="39" name="Picture"/>
                                <pic:cNvPicPr>
                                  <a:picLocks noChangeArrowheads="1" noChangeAspect="1"/>
                                </pic:cNvPicPr>
                              </pic:nvPicPr>
                              <pic:blipFill>
                                <a:blip r:embed="rId37"/>
                                <a:stretch>
                                  <a:fillRect/>
                                </a:stretch>
                              </pic:blipFill>
                              <pic:spPr bwMode="auto">
                                <a:xfrm>
                                  <a:off x="0" y="0"/>
                                  <a:ext cx="4587290" cy="3669832"/>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Negative Z-scores indicate active selection of the root zone</w:t>
                  </w:r>
                </w:p>
                <w:bookmarkEnd w:id="40"/>
              </w:tc>
            </w:tr>
          </w:tbl>
          <w:p>
            <w:pPr>
              <w:jc w:val="center"/>
            </w:pPr>
            <w:pPr>
              <w:jc w:val="start"/>
              <w:spacing w:before="200"/>
              <w:pStyle w:val="ImageCaption"/>
            </w:pPr>
            <w:r>
              <w:t xml:space="preserve">Figure 4: Rhizosphere Attraction Index</w:t>
            </w:r>
          </w:p>
          <w:bookmarkEnd w:id="41"/>
        </w:tc>
      </w:tr>
    </w:tbl>
    <w:p>
      <w:pPr>
        <w:pStyle w:val="Corpsdetexte"/>
      </w:pPr>
      <w:r>
        <w:t xml:space="preserve">The</w:t>
      </w:r>
      <w:r>
        <w:t xml:space="preserve"> </w:t>
      </w:r>
      <w:hyperlink w:anchor="fig-global-attraction">
        <w:r>
          <w:rPr>
            <w:rStyle w:val="Lienhypertexte"/>
          </w:rPr>
          <w:t xml:space="preserve">Figure 4</w:t>
        </w:r>
      </w:hyperlink>
      <w:r>
        <w:t xml:space="preserve"> </w:t>
      </w:r>
      <w:r>
        <w:t xml:space="preserve">reveals</w:t>
      </w:r>
      <w:r>
        <w:t xml:space="preserve"> </w:t>
      </w:r>
      <w:r>
        <w:rPr>
          <w:b/>
          <w:bCs/>
        </w:rPr>
        <w:t xml:space="preserve">significant, taxa-specific attraction to the root surface</w:t>
      </w:r>
      <w:r>
        <w:t xml:space="preserve">, particularly for Collembola and Gastropoda. The strength of this selection varies by root type, suggesting that biological drivers - such as root exudation - shape spatial clustering beyond what is expected by chance.</w:t>
      </w:r>
    </w:p>
    <w:bookmarkEnd w:id="42"/>
    <w:bookmarkEnd w:id="43"/>
    <w:bookmarkStart w:id="66" w:name="Xab3e8a236c7dc6a53cf1b3401f8cb3542ab4d4e"/>
    <w:p>
      <w:pPr>
        <w:pStyle w:val="Titre2"/>
      </w:pPr>
      <w:r>
        <w:t xml:space="preserve">2. The geometric niche: habitat availability constraint</w:t>
      </w:r>
    </w:p>
    <w:bookmarkStart w:id="44" w:name="context"/>
    <w:p>
      <w:pPr>
        <w:pStyle w:val="Titre3"/>
      </w:pPr>
      <w:r>
        <w:rPr>
          <w:b/>
          <w:bCs/>
        </w:rPr>
        <w:t xml:space="preserve">Context</w:t>
      </w:r>
    </w:p>
    <w:p>
      <w:pPr>
        <w:pStyle w:val="FirstParagraph"/>
      </w:pPr>
      <w:r>
        <w:t xml:space="preserve">While attraction is a key driver, the physical presence of roots inherently constrains the available habitat. As surface root density increases, bulk soil volume diminishes, mathematically increasing the probability of fauna-root encounters regardless of biological preference. To isolate the true</w:t>
      </w:r>
      <w:r>
        <w:t xml:space="preserve"> </w:t>
      </w:r>
      <w:r>
        <w:t xml:space="preserve">“</w:t>
      </w:r>
      <w:r>
        <w:t xml:space="preserve">biological signal,</w:t>
      </w:r>
      <w:r>
        <w:t xml:space="preserve">”</w:t>
      </w:r>
      <w:r>
        <w:t xml:space="preserve"> </w:t>
      </w:r>
      <w:r>
        <w:t xml:space="preserve">we wanted to model the</w:t>
      </w:r>
      <w:r>
        <w:t xml:space="preserve"> </w:t>
      </w:r>
      <m:oMath>
        <m:r>
          <m:t>z</m:t>
        </m:r>
      </m:oMath>
      <w:r>
        <w:t xml:space="preserve">-score across a surface root density gradient.</w:t>
      </w:r>
    </w:p>
    <w:bookmarkEnd w:id="44"/>
    <w:bookmarkStart w:id="50" w:name="X48551b661957cd50d07fa985ecf7a10cd1695de"/>
    <w:p>
      <w:pPr>
        <w:pStyle w:val="Titre3"/>
      </w:pPr>
      <w:r>
        <w:rPr>
          <w:b/>
          <w:bCs/>
        </w:rPr>
        <w:t xml:space="preserve">Addressing spatial-temporal autocorrelation</w:t>
      </w:r>
    </w:p>
    <w:p>
      <w:pPr>
        <w:pStyle w:val="FirstParagraph"/>
      </w:pPr>
      <w:r>
        <w:t xml:space="preserve">In our experimental setup, surface root density within a specific scanner over a 7-day period is often stable (see</w:t>
      </w:r>
      <w:r>
        <w:t xml:space="preserve"> </w:t>
      </w:r>
      <w:hyperlink w:anchor="fig-metric-variability">
        <w:r>
          <w:rPr>
            <w:rStyle w:val="Lienhypertexte"/>
          </w:rPr>
          <w:t xml:space="preserve">Figure 2</w:t>
        </w:r>
      </w:hyperlink>
      <w:r>
        <w:t xml:space="preserve">). This creates a statistical challenge: if we model every individual occurrence, we treat each one as an independent</w:t>
      </w:r>
      <w:r>
        <w:t xml:space="preserve"> </w:t>
      </w:r>
      <w:r>
        <w:t xml:space="preserve">“</w:t>
      </w:r>
      <w:r>
        <w:t xml:space="preserve">choice.</w:t>
      </w:r>
      <w:r>
        <w:t xml:space="preserve">”</w:t>
      </w:r>
      <w:r>
        <w:t xml:space="preserve"> </w:t>
      </w:r>
      <w:r>
        <w:t xml:space="preserve">However, occurrences within the same scanner and period are constrained by the same physical architecture. To avoid artificially inflating our degrees of freedom and providing a biased estimate of the</w:t>
      </w:r>
      <w:r>
        <w:t xml:space="preserve"> </w:t>
      </w:r>
      <w:r>
        <w:t xml:space="preserve">“</w:t>
      </w:r>
      <w:r>
        <w:t xml:space="preserve">geometric niche,</w:t>
      </w:r>
      <w:r>
        <w:t xml:space="preserve">”</w:t>
      </w:r>
      <w:r>
        <w:t xml:space="preserve"> </w:t>
      </w:r>
      <w:r>
        <w:t xml:space="preserve">we performed a sensitivity analysis :</w:t>
      </w:r>
    </w:p>
    <w:p>
      <w:pPr>
        <w:pStyle w:val="Compact"/>
        <w:numPr>
          <w:ilvl w:val="0"/>
          <w:numId w:val="1002"/>
        </w:numPr>
      </w:pPr>
      <w:r>
        <w:rPr>
          <w:b/>
          <w:bCs/>
        </w:rPr>
        <w:t xml:space="preserve">Individual-Level Model:</w:t>
      </w:r>
      <w:r>
        <w:t xml:space="preserve"> </w:t>
      </w:r>
      <w:r>
        <w:t xml:space="preserve">High resolution, but susceptible to Type I errors due to high intra-replicate autocorrelation.</w:t>
      </w:r>
    </w:p>
    <w:p>
      <w:pPr>
        <w:pStyle w:val="Compact"/>
        <w:numPr>
          <w:ilvl w:val="0"/>
          <w:numId w:val="1002"/>
        </w:numPr>
      </w:pPr>
      <w:r>
        <w:rPr>
          <w:b/>
          <w:bCs/>
        </w:rPr>
        <w:t xml:space="preserve">Aggregated-Level Model:</w:t>
      </w:r>
      <w:r>
        <w:t xml:space="preserve"> </w:t>
      </w:r>
      <w:r>
        <w:t xml:space="preserve">data is collapsed to Scanner × Period × Taxon × Root type means. This ensures that each data point represents a unique</w:t>
      </w:r>
      <w:r>
        <w:t xml:space="preserve"> </w:t>
      </w:r>
      <w:r>
        <w:t xml:space="preserve">“</w:t>
      </w:r>
      <w:r>
        <w:t xml:space="preserve">habitat state,</w:t>
      </w:r>
      <w:r>
        <w:t xml:space="preserve">”</w:t>
      </w:r>
      <w:r>
        <w:t xml:space="preserve"> </w:t>
      </w:r>
      <w:r>
        <w:t xml:space="preserve">forcing the model to look for trends across experimental units rather than individual points.</w:t>
      </w:r>
    </w:p>
    <w:tbl>
      <w:tblPr>
        <w:tblStyle w:val="Table"/>
        <w:tblW w:type="pct" w:w="5000"/>
        <w:tblLayout w:type="fixed"/>
        <w:tblLook w:firstRow="0" w:lastRow="0" w:firstColumn="0" w:lastColumn="0" w:noHBand="0" w:noVBand="0" w:val="0000"/>
      </w:tblPr>
      <w:tblGrid>
        <w:gridCol w:w="7920"/>
      </w:tblGrid>
      <w:tr>
        <w:tc>
          <w:tcPr/>
          <w:bookmarkStart w:id="49" w:name="fig-aggregation-logic"/>
          <w:tbl>
            <w:tblPr>
              <w:tblStyle w:val="Table"/>
              <w:tblW w:type="pct" w:w="5000"/>
              <w:tblLayout w:type="fixed"/>
              <w:tblLook w:firstRow="0" w:lastRow="0" w:firstColumn="0" w:lastColumn="0" w:noHBand="0" w:noVBand="0" w:val="0000"/>
            </w:tblPr>
            <w:tblGrid>
              <w:gridCol w:w="7920"/>
            </w:tblGrid>
            <w:tr>
              <w:tc>
                <w:tcPr/>
                <w:bookmarkStart w:id="48" w:name="fig-aggregation-logic"/>
                <w:p>
                  <w:pPr>
                    <w:pStyle w:val="Compact"/>
                    <w:jc w:val="center"/>
                    <w:jc w:val="center"/>
                  </w:pPr>
                  <w:r>
                    <w:drawing>
                      <wp:inline>
                        <wp:extent cx="5969000" cy="2387600"/>
                        <wp:effectExtent b="0" l="0" r="0" t="0"/>
                        <wp:docPr descr="" title="" id="46" name="Picture"/>
                        <a:graphic>
                          <a:graphicData uri="http://schemas.openxmlformats.org/drawingml/2006/picture">
                            <pic:pic>
                              <pic:nvPicPr>
                                <pic:cNvPr descr="6.-S3_data_analysis_files/figure-docx/fig-aggregation-logic-1.png" id="47" name="Picture"/>
                                <pic:cNvPicPr>
                                  <a:picLocks noChangeArrowheads="1" noChangeAspect="1"/>
                                </pic:cNvPicPr>
                              </pic:nvPicPr>
                              <pic:blipFill>
                                <a:blip r:embed="rId45"/>
                                <a:stretch>
                                  <a:fillRect/>
                                </a:stretch>
                              </pic:blipFill>
                              <pic:spPr bwMode="auto">
                                <a:xfrm>
                                  <a:off x="0" y="0"/>
                                  <a:ext cx="5969000" cy="2387600"/>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Grey: individual observations | Orange: Replicate averages (aggregated)</w:t>
                  </w:r>
                </w:p>
                <w:bookmarkEnd w:id="48"/>
              </w:tc>
            </w:tr>
          </w:tbl>
          <w:p>
            <w:pPr>
              <w:jc w:val="center"/>
            </w:pPr>
            <w:pPr>
              <w:jc w:val="start"/>
              <w:spacing w:before="200"/>
              <w:pStyle w:val="ImageCaption"/>
            </w:pPr>
            <w:r>
              <w:t xml:space="preserve">Figure 5: Structural impact of data aggregation</w:t>
            </w:r>
          </w:p>
          <w:bookmarkEnd w:id="49"/>
        </w:tc>
      </w:tr>
    </w:tbl>
    <w:p>
      <w:pPr>
        <w:pStyle w:val="Corpsdetexte"/>
      </w:pPr>
      <w:r>
        <w:t xml:space="preserve">The</w:t>
      </w:r>
      <w:r>
        <w:t xml:space="preserve"> </w:t>
      </w:r>
      <w:r>
        <w:t xml:space="preserve">“</w:t>
      </w:r>
      <w:r>
        <w:t xml:space="preserve">vertical striping</w:t>
      </w:r>
      <w:r>
        <w:t xml:space="preserve">”</w:t>
      </w:r>
      <w:r>
        <w:t xml:space="preserve"> </w:t>
      </w:r>
      <w:r>
        <w:t xml:space="preserve">in</w:t>
      </w:r>
      <w:r>
        <w:t xml:space="preserve"> </w:t>
      </w:r>
      <w:hyperlink w:anchor="fig-aggregation-logic">
        <w:r>
          <w:rPr>
            <w:rStyle w:val="Lienhypertexte"/>
          </w:rPr>
          <w:t xml:space="preserve">Figure 5</w:t>
        </w:r>
      </w:hyperlink>
      <w:r>
        <w:t xml:space="preserve"> </w:t>
      </w:r>
      <w:r>
        <w:t xml:space="preserve">(A) highlights the pseudo-replication issue: many fauna share identical surface root density values. The aggregation process in</w:t>
      </w:r>
      <w:r>
        <w:t xml:space="preserve"> </w:t>
      </w:r>
      <w:hyperlink w:anchor="fig-aggregation-logic">
        <w:r>
          <w:rPr>
            <w:rStyle w:val="Lienhypertexte"/>
          </w:rPr>
          <w:t xml:space="preserve">Figure 5</w:t>
        </w:r>
      </w:hyperlink>
      <w:r>
        <w:t xml:space="preserve"> </w:t>
      </w:r>
      <w:r>
        <w:t xml:space="preserve">(B) preserves the experimental gradient while smoothing over-represented low-density zones, providing a more balanced predictor distribution.</w:t>
      </w:r>
    </w:p>
    <w:bookmarkEnd w:id="50"/>
    <w:bookmarkStart w:id="56" w:name="distribution-choice-why-scat"/>
    <w:p>
      <w:pPr>
        <w:pStyle w:val="Titre3"/>
      </w:pPr>
      <w:r>
        <w:rPr>
          <w:b/>
          <w:bCs/>
        </w:rPr>
        <w:t xml:space="preserve">Distribution choice: Why</w:t>
      </w:r>
      <w:r>
        <w:rPr>
          <w:b/>
          <w:bCs/>
        </w:rPr>
        <w:t xml:space="preserve"> </w:t>
      </w:r>
      <w:r>
        <w:rPr>
          <w:rStyle w:val="VerbatimChar"/>
          <w:b/>
          <w:bCs/>
        </w:rPr>
        <w:t xml:space="preserve">scat()</w:t>
      </w:r>
      <w:r>
        <w:rPr>
          <w:b/>
          <w:bCs/>
        </w:rPr>
        <w:t xml:space="preserve">?</w:t>
      </w:r>
    </w:p>
    <w:p>
      <w:pPr>
        <w:pStyle w:val="FirstParagraph"/>
      </w:pPr>
      <w:r>
        <w:t xml:space="preserve">The selection of the scaled</w:t>
      </w:r>
      <w:r>
        <w:t xml:space="preserve"> </w:t>
      </w:r>
      <m:oMath>
        <m:r>
          <m:t>t</m:t>
        </m:r>
      </m:oMath>
      <w:r>
        <w:t xml:space="preserve">-family (</w:t>
      </w:r>
      <w:r>
        <w:rPr>
          <w:rStyle w:val="VerbatimChar"/>
        </w:rPr>
        <w:t xml:space="preserve">scat()</w:t>
      </w:r>
      <w:r>
        <w:t xml:space="preserve">) was necessitated by the</w:t>
      </w:r>
      <w:r>
        <w:t xml:space="preserve"> </w:t>
      </w:r>
      <w:r>
        <w:t xml:space="preserve">“</w:t>
      </w:r>
      <w:r>
        <w:t xml:space="preserve">heavy-tailed</w:t>
      </w:r>
      <w:r>
        <w:t xml:space="preserve">”</w:t>
      </w:r>
      <w:r>
        <w:t xml:space="preserve"> </w:t>
      </w:r>
      <w:r>
        <w:t xml:space="preserve">nature of</w:t>
      </w:r>
      <w:r>
        <w:t xml:space="preserve"> </w:t>
      </w:r>
      <m:oMath>
        <m:r>
          <m:t>z</m:t>
        </m:r>
      </m:oMath>
      <w:r>
        <w:t xml:space="preserve">-scores in this system. Ecological data often contain extreme behaviors—individuals that are exceptionally attracted to or repelled by a resource - that create outliers beyond what a standard Gaussian (Normal) distribution can accommodate. As shown in the comparative QQ-plots, the</w:t>
      </w:r>
      <w:r>
        <w:t xml:space="preserve"> </w:t>
      </w:r>
      <w:r>
        <w:rPr>
          <w:rStyle w:val="VerbatimChar"/>
        </w:rPr>
        <w:t xml:space="preserve">scat</w:t>
      </w:r>
      <w:r>
        <w:t xml:space="preserve"> </w:t>
      </w:r>
      <w:r>
        <w:t xml:space="preserve">family accounts for these heavy tails, preventing extreme values from disproportionately pulling the fitted splines.</w:t>
      </w:r>
    </w:p>
    <w:p>
      <w:pPr>
        <w:pStyle w:val="SourceCode"/>
      </w:pPr>
      <w:r>
        <w:rPr>
          <w:rStyle w:val="VerbatimChar"/>
        </w:rPr>
        <w:t xml:space="preserve">                     df      AIC</w:t>
      </w:r>
      <w:r>
        <w:br/>
      </w:r>
      <w:r>
        <w:rPr>
          <w:rStyle w:val="VerbatimChar"/>
        </w:rPr>
        <w:t xml:space="preserve">mod_gaussian   19.26655 401.1098</w:t>
      </w:r>
      <w:r>
        <w:br/>
      </w:r>
      <w:r>
        <w:rPr>
          <w:rStyle w:val="VerbatimChar"/>
        </w:rPr>
        <w:t xml:space="preserve">mod_aggregated 23.61698 364.4128</w:t>
      </w:r>
    </w:p>
    <w:tbl>
      <w:tblPr>
        <w:tblStyle w:val="Table"/>
        <w:tblW w:type="pct" w:w="5000"/>
        <w:tblLayout w:type="fixed"/>
        <w:tblLook w:firstRow="0" w:lastRow="0" w:firstColumn="0" w:lastColumn="0" w:noHBand="0" w:noVBand="0" w:val="0000"/>
      </w:tblPr>
      <w:tblGrid>
        <w:gridCol w:w="7920"/>
      </w:tblGrid>
      <w:tr>
        <w:tc>
          <w:tcPr/>
          <w:bookmarkStart w:id="55" w:name="fig-diagnostic-family-check"/>
          <w:p>
            <w:pPr>
              <w:pStyle w:val="Compact"/>
              <w:jc w:val="center"/>
            </w:pPr>
            <w:bookmarkStart w:id="54" w:name="fig-diagnostic-family-check"/>
            <w:r>
              <w:drawing>
                <wp:inline>
                  <wp:extent cx="5969000" cy="2984500"/>
                  <wp:effectExtent b="0" l="0" r="0" t="0"/>
                  <wp:docPr descr="" title="" id="52" name="Picture"/>
                  <a:graphic>
                    <a:graphicData uri="http://schemas.openxmlformats.org/drawingml/2006/picture">
                      <pic:pic>
                        <pic:nvPicPr>
                          <pic:cNvPr descr="6.-S3_data_analysis_files/figure-docx/fig-diagnostic-family-check-1.png" id="53" name="Picture"/>
                          <pic:cNvPicPr>
                            <a:picLocks noChangeArrowheads="1" noChangeAspect="1"/>
                          </pic:cNvPicPr>
                        </pic:nvPicPr>
                        <pic:blipFill>
                          <a:blip r:embed="rId51"/>
                          <a:stretch>
                            <a:fillRect/>
                          </a:stretch>
                        </pic:blipFill>
                        <pic:spPr bwMode="auto">
                          <a:xfrm>
                            <a:off x="0" y="0"/>
                            <a:ext cx="5969000" cy="2984500"/>
                          </a:xfrm>
                          <a:prstGeom prst="rect">
                            <a:avLst/>
                          </a:prstGeom>
                          <a:noFill/>
                          <a:ln w="9525">
                            <a:noFill/>
                            <a:headEnd/>
                            <a:tailEnd/>
                          </a:ln>
                        </pic:spPr>
                      </pic:pic>
                    </a:graphicData>
                  </a:graphic>
                </wp:inline>
              </w:drawing>
            </w:r>
            <w:bookmarkEnd w:id="54"/>
          </w:p>
          <w:p>
            <w:pPr>
              <w:jc w:val="center"/>
            </w:pPr>
            <w:pPr>
              <w:jc w:val="start"/>
              <w:spacing w:before="200"/>
              <w:pStyle w:val="ImageCaption"/>
            </w:pPr>
            <w:r>
              <w:t xml:space="preserve">Figure 6</w:t>
            </w:r>
          </w:p>
          <w:bookmarkEnd w:id="55"/>
        </w:tc>
      </w:tr>
    </w:tbl>
    <w:bookmarkEnd w:id="56"/>
    <w:bookmarkStart w:id="58" w:name="results-models-comparison"/>
    <w:p>
      <w:pPr>
        <w:pStyle w:val="Titre3"/>
      </w:pPr>
      <w:r>
        <w:rPr>
          <w:b/>
          <w:bCs/>
        </w:rPr>
        <w:t xml:space="preserve">Results models comparison</w:t>
      </w:r>
    </w:p>
    <w:p>
      <w:pPr>
        <w:pStyle w:val="FirstParagraph"/>
      </w:pPr>
      <w:r>
        <w:t xml:space="preserve">We implemented two Generalized Additive Models (GAMs) using the scat() family (scaled</w:t>
      </w:r>
      <w:r>
        <w:t xml:space="preserve"> </w:t>
      </w:r>
      <m:oMath>
        <m:r>
          <m:t>t</m:t>
        </m:r>
      </m:oMath>
      <w:r>
        <w:t xml:space="preserve">-distribution) : individual vs aggregated model.</w:t>
      </w:r>
    </w:p>
    <w:tbl>
      <w:tblPr>
        <w:tblStyle w:val="Table"/>
        <w:tblW w:type="pct" w:w="5000"/>
        <w:tblLayout w:type="fixed"/>
        <w:tblLook w:firstRow="0" w:lastRow="0" w:firstColumn="0" w:lastColumn="0" w:noHBand="0" w:noVBand="0" w:val="0000"/>
      </w:tblPr>
      <w:tblGrid>
        <w:gridCol w:w="7920"/>
      </w:tblGrid>
      <w:tr>
        <w:tc>
          <w:tcPr/>
          <w:bookmarkStart w:id="57" w:name="tbl-model-performance-summary"/>
          <w:p>
            <w:pPr>
              <w:jc w:val="center"/>
            </w:pPr>
            <w:pPr>
              <w:jc w:val="start"/>
              <w:spacing w:before="200"/>
              <w:pStyle w:val="ImageCaption"/>
            </w:pPr>
            <w:r>
              <w:t xml:space="preserve">Table 2: Sensitivity analysis - comparison of individual vs. aggregated modeling approaches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1152"/>
              <w:gridCol w:w="1152"/>
              <w:gridCol w:w="1152"/>
              <w:gridCol w:w="1152"/>
              <w:gridCol w:w="1872"/>
              <w:gridCol w:w="1152"/>
            </w:tblGrid>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Model Approach</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AIC</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Dev. Expl. (%)</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Adj. R²</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Mean EDF</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Significant Smooths</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N</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Individual</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19,193.622</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2.117</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0.022</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2.798</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 / 8</w:t>
                  </w:r>
                </w:p>
              </w:tc>
              <w:tc>
                <w:tcPr>
                  <w:tcBorders>
                    <w:bottom w:val="single" w:sz="4" w:space="0" w:color="999999"/>
                    <w:top w:val="single" w:sz="8" w:space="0" w:color="000000"/>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6,828</w:t>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4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Aggregated</w:t>
                  </w:r>
                </w:p>
              </w:tc>
              <w:tc>
                <w:tcPr>
                  <w:tcBorders>
                    <w:bottom w:val="single" w:sz="8" w:space="0" w:color="000000"/>
                    <w:top w:val="single" w:sz="4" w:space="0" w:color="999999"/>
                    <w:left w:val="single" w:sz="4" w:space="0" w:color="999999"/>
                    <w:right w:val="single" w:sz="4" w:space="0" w:color="999999"/>
                  </w:tcBorders>
                  <w:shd w:val="clear" w:color="auto" w:fill="FFF4E5"/>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364.413</w:t>
                  </w:r>
                </w:p>
              </w:tc>
              <w:tc>
                <w:tcPr>
                  <w:tcBorders>
                    <w:bottom w:val="single" w:sz="8" w:space="0" w:color="000000"/>
                    <w:top w:val="single" w:sz="4" w:space="0" w:color="999999"/>
                    <w:left w:val="single" w:sz="4" w:space="0" w:color="999999"/>
                    <w:right w:val="single" w:sz="4" w:space="0" w:color="999999"/>
                  </w:tcBorders>
                  <w:shd w:val="clear" w:color="auto" w:fill="FFF4E5"/>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8.451</w:t>
                  </w:r>
                </w:p>
              </w:tc>
              <w:tc>
                <w:tcPr>
                  <w:tcBorders>
                    <w:bottom w:val="single" w:sz="8" w:space="0" w:color="000000"/>
                    <w:top w:val="single" w:sz="4" w:space="0" w:color="999999"/>
                    <w:left w:val="single" w:sz="4" w:space="0" w:color="999999"/>
                    <w:right w:val="single" w:sz="4" w:space="0" w:color="999999"/>
                  </w:tcBorders>
                  <w:shd w:val="clear" w:color="auto" w:fill="FFF4E5"/>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0.011</w:t>
                  </w:r>
                </w:p>
              </w:tc>
              <w:tc>
                <w:tcPr>
                  <w:tcBorders>
                    <w:bottom w:val="single" w:sz="8" w:space="0" w:color="000000"/>
                    <w:top w:val="single" w:sz="4" w:space="0" w:color="999999"/>
                    <w:left w:val="single" w:sz="4" w:space="0" w:color="999999"/>
                    <w:right w:val="single" w:sz="4" w:space="0" w:color="999999"/>
                  </w:tcBorders>
                  <w:shd w:val="clear" w:color="auto" w:fill="FFF4E5"/>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1.790</w:t>
                  </w:r>
                </w:p>
              </w:tc>
              <w:tc>
                <w:tcPr>
                  <w:tcBorders>
                    <w:bottom w:val="single" w:sz="8" w:space="0" w:color="000000"/>
                    <w:top w:val="single" w:sz="4" w:space="0" w:color="999999"/>
                    <w:left w:val="single" w:sz="4" w:space="0" w:color="999999"/>
                    <w:right w:val="single" w:sz="4" w:space="0" w:color="999999"/>
                  </w:tcBorders>
                  <w:shd w:val="clear" w:color="auto" w:fill="FFF4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2 / 8</w:t>
                  </w:r>
                </w:p>
              </w:tc>
              <w:tc>
                <w:tcPr>
                  <w:tcBorders>
                    <w:bottom w:val="single" w:sz="8" w:space="0" w:color="000000"/>
                    <w:top w:val="single" w:sz="4" w:space="0" w:color="999999"/>
                    <w:left w:val="single" w:sz="4" w:space="0" w:color="999999"/>
                    <w:right w:val="single" w:sz="8" w:space="0" w:color="000000"/>
                  </w:tcBorders>
                  <w:shd w:val="clear" w:color="auto" w:fill="FFF4E5"/>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278</w:t>
                  </w:r>
                </w:p>
              </w:tc>
            </w:tr>
          </w:tbl>
          <w:bookmarkEnd w:id="57"/>
        </w:tc>
      </w:tr>
    </w:tbl>
    <w:p>
      <w:pPr>
        <w:pStyle w:val="Corpsdetexte"/>
      </w:pPr>
      <w:r>
        <w:t xml:space="preserve">The individual model identifies 6 out of 8 smooth terms as significant. However, this significance is deceptive; with a deviance explained of only 2.6%, the model has almost no predictive power. The low p-values are likely a mathematical byproduct of the large sample size and high spatial autocorrelation (pseudo replication). The aggregated model, by collapsing the data to replicate means, eliminate individual-level stochasticity. While the</w:t>
      </w:r>
      <w:r>
        <w:t xml:space="preserve"> </w:t>
      </w:r>
      <w:r>
        <w:t xml:space="preserve">“</w:t>
      </w:r>
      <w:r>
        <w:t xml:space="preserve">significance</w:t>
      </w:r>
      <w:r>
        <w:t xml:space="preserve">”</w:t>
      </w:r>
      <w:r>
        <w:t xml:space="preserve"> </w:t>
      </w:r>
      <w:r>
        <w:t xml:space="preserve">vanishes (0/8 terms), the deviance explained increases nearly four-fold (9.4%). Furthermore, the average EDF (Effective Degrees of Freedom) drops from ~3.28 to ~1.66, indicating that the model is no longer trying to</w:t>
      </w:r>
      <w:r>
        <w:t xml:space="preserve"> </w:t>
      </w:r>
      <w:r>
        <w:t xml:space="preserve">“</w:t>
      </w:r>
      <w:r>
        <w:t xml:space="preserve">wiggle</w:t>
      </w:r>
      <w:r>
        <w:t xml:space="preserve">”</w:t>
      </w:r>
      <w:r>
        <w:t xml:space="preserve"> </w:t>
      </w:r>
      <w:r>
        <w:t xml:space="preserve">through noise, but is instead finding a simpler, more stable (though non-significant) trend.</w:t>
      </w:r>
    </w:p>
    <w:bookmarkEnd w:id="58"/>
    <w:bookmarkStart w:id="65" w:name="Xe4b971e13c40ef261d556448f00dd2fe343b93c"/>
    <w:p>
      <w:pPr>
        <w:pStyle w:val="Titre3"/>
      </w:pPr>
      <w:r>
        <w:rPr>
          <w:b/>
          <w:bCs/>
        </w:rPr>
        <w:t xml:space="preserve">Are fauna close to the root by choice (attraction) or necessity (habitat saturation) ?</w:t>
      </w:r>
    </w:p>
    <w:p>
      <w:pPr>
        <w:pStyle w:val="FirstParagraph"/>
      </w:pPr>
      <w:r>
        <w:t xml:space="preserve">While attraction is a key driver, the physical presence of roots inherently constrains the available habitat. As surface root density increases, bulk soil volume diminishes, mathematically increasing the probability of fauna-root encounters regardless of biological preference. To isolate the true</w:t>
      </w:r>
      <w:r>
        <w:t xml:space="preserve"> </w:t>
      </w:r>
      <w:r>
        <w:t xml:space="preserve">“</w:t>
      </w:r>
      <w:r>
        <w:t xml:space="preserve">biological signal,</w:t>
      </w:r>
      <w:r>
        <w:t xml:space="preserve">”</w:t>
      </w:r>
      <w:r>
        <w:t xml:space="preserve"> </w:t>
      </w:r>
      <w:r>
        <w:t xml:space="preserve">we modeled the</w:t>
      </w:r>
      <w:r>
        <w:t xml:space="preserve"> </w:t>
      </w:r>
      <m:oMath>
        <m:r>
          <m:t>z</m:t>
        </m:r>
      </m:oMath>
      <w:r>
        <w:t xml:space="preserve">-score across a surface root density gradient. We utilized a Generalized Additive Model (GAM) with a Student-t (scat) distribution to account for the heavy-tailed nature of ecological distance data.</w:t>
      </w:r>
    </w:p>
    <w:tbl>
      <w:tblPr>
        <w:tblStyle w:val="Table"/>
        <w:tblW w:type="pct" w:w="5000"/>
        <w:tblLayout w:type="fixed"/>
        <w:tblLook w:firstRow="0" w:lastRow="0" w:firstColumn="0" w:lastColumn="0" w:noHBand="0" w:noVBand="0" w:val="0000"/>
      </w:tblPr>
      <w:tblGrid>
        <w:gridCol w:w="7920"/>
      </w:tblGrid>
      <w:tr>
        <w:tc>
          <w:tcPr/>
          <w:bookmarkStart w:id="59" w:name="tbl-geometric-constraint"/>
          <w:p>
            <w:pPr>
              <w:jc w:val="center"/>
            </w:pPr>
            <w:pPr>
              <w:jc w:val="start"/>
              <w:spacing w:before="200"/>
              <w:pStyle w:val="ImageCaption"/>
            </w:pPr>
            <w:r>
              <w:t xml:space="preserve">Table 3: Summary of smooth term results for surface root density (root_cm2_count) on z_score by root type and taxon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296"/>
              <w:gridCol w:w="1152"/>
              <w:gridCol w:w="1152"/>
              <w:gridCol w:w="1152"/>
              <w:gridCol w:w="1152"/>
              <w:gridCol w:w="720"/>
            </w:tblGrid>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Taxa</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Root Type</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Complexity (EDF)</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Ref.df</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Chi-square</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p-value</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Sign.</w:t>
                  </w:r>
                </w:p>
              </w:tc>
            </w:tr>
            <w:tr>
              <w:trPr>
                <w:cantSplit/>
                <w:trHeight w:val="360" w:hRule="auto"/>
              </w:trPr>
              <w:tc>
                <w:tcPr>
                  <w:vMerge w:val="restart"/>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acari</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growing apex</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1.418</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0.234</w:t>
                  </w:r>
                </w:p>
              </w:tc>
              <w:tc>
                <w:tcPr>
                  <w:tcBorders>
                    <w:bottom w:val="single" w:sz="4" w:space="0" w:color="999999"/>
                    <w:top w:val="single" w:sz="8" w:space="0" w:color="000000"/>
                    <w:left w:val="single" w:sz="4" w:space="0" w:color="999999"/>
                    <w:right w:val="single" w:sz="8" w:space="0" w:color="000000"/>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D7261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D7261E"/>
                    </w:rPr>
                    <w:t xml:space="preserve">ns</w:t>
                  </w:r>
                </w:p>
              </w:tc>
            </w:tr>
            <w:tr>
              <w:trPr>
                <w:cantSplit/>
                <w:trHeight w:val="360" w:hRule="auto"/>
              </w:trPr>
              <w:tc>
                <w:tcPr>
                  <w:vMerge/>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mature zone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0.550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0.458</w:t>
                  </w:r>
                </w:p>
              </w:tc>
              <w:tc>
                <w:tcPr>
                  <w:tcBorders>
                    <w:bottom w:val="single" w:sz="4" w:space="0" w:color="999999"/>
                    <w:top w:val="single" w:sz="4" w:space="0" w:color="999999"/>
                    <w:left w:val="single" w:sz="4" w:space="0" w:color="999999"/>
                    <w:right w:val="single" w:sz="8" w:space="0" w:color="000000"/>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D7261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D7261E"/>
                    </w:rPr>
                    <w:t xml:space="preserve">ns</w:t>
                  </w:r>
                </w:p>
              </w:tc>
            </w:tr>
            <w:tr>
              <w:trPr>
                <w:cantSplit/>
                <w:trHeight w:val="360" w:hRule="auto"/>
              </w:trPr>
              <w:tc>
                <w:tcPr>
                  <w:vMerge w:val="restart"/>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collembola</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growing apex</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1.429</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1.718</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1.472</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0.533</w:t>
                  </w:r>
                </w:p>
              </w:tc>
              <w:tc>
                <w:tcPr>
                  <w:tcBorders>
                    <w:bottom w:val="single" w:sz="4" w:space="0" w:color="999999"/>
                    <w:top w:val="single" w:sz="4" w:space="0" w:color="999999"/>
                    <w:left w:val="single" w:sz="4" w:space="0" w:color="999999"/>
                    <w:right w:val="single" w:sz="8" w:space="0" w:color="000000"/>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D7261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D7261E"/>
                    </w:rPr>
                    <w:t xml:space="preserve">ns</w:t>
                  </w:r>
                </w:p>
              </w:tc>
            </w:tr>
            <w:tr>
              <w:trPr>
                <w:cantSplit/>
                <w:trHeight w:val="360" w:hRule="auto"/>
              </w:trPr>
              <w:tc>
                <w:tcPr>
                  <w:vMerge/>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mature zone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0.068</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0.795</w:t>
                  </w:r>
                </w:p>
              </w:tc>
              <w:tc>
                <w:tcPr>
                  <w:tcBorders>
                    <w:bottom w:val="single" w:sz="4" w:space="0" w:color="999999"/>
                    <w:top w:val="single" w:sz="4" w:space="0" w:color="999999"/>
                    <w:left w:val="single" w:sz="4" w:space="0" w:color="999999"/>
                    <w:right w:val="single" w:sz="8" w:space="0" w:color="000000"/>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D7261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D7261E"/>
                    </w:rPr>
                    <w:t xml:space="preserve">ns</w:t>
                  </w:r>
                </w:p>
              </w:tc>
            </w:tr>
            <w:tr>
              <w:trPr>
                <w:cantSplit/>
                <w:trHeight w:val="360" w:hRule="auto"/>
              </w:trPr>
              <w:tc>
                <w:tcPr>
                  <w:vMerge w:val="restart"/>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gastropoda</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growing apex</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0.454</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0.500</w:t>
                  </w:r>
                </w:p>
              </w:tc>
              <w:tc>
                <w:tcPr>
                  <w:tcBorders>
                    <w:bottom w:val="single" w:sz="4" w:space="0" w:color="999999"/>
                    <w:top w:val="single" w:sz="4" w:space="0" w:color="999999"/>
                    <w:left w:val="single" w:sz="4" w:space="0" w:color="999999"/>
                    <w:right w:val="single" w:sz="8" w:space="0" w:color="000000"/>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D7261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D7261E"/>
                    </w:rPr>
                    <w:t xml:space="preserve">ns</w:t>
                  </w:r>
                </w:p>
              </w:tc>
            </w:tr>
            <w:tr>
              <w:trPr>
                <w:cantSplit/>
                <w:trHeight w:val="360" w:hRule="auto"/>
              </w:trPr>
              <w:tc>
                <w:tcPr>
                  <w:vMerge/>
                  <w:tcBorders>
                    <w:bottom w:val="single" w:sz="8" w:space="0" w:color="000000"/>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mature zone</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0.650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0.420</w:t>
                  </w:r>
                </w:p>
              </w:tc>
              <w:tc>
                <w:tcPr>
                  <w:tcBorders>
                    <w:bottom w:val="single" w:sz="8" w:space="0" w:color="000000"/>
                    <w:top w:val="single" w:sz="4" w:space="0" w:color="999999"/>
                    <w:left w:val="single" w:sz="4" w:space="0" w:color="999999"/>
                    <w:right w:val="single" w:sz="8" w:space="0" w:color="000000"/>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D7261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D7261E"/>
                    </w:rPr>
                    <w:t xml:space="preserve">ns</w:t>
                  </w:r>
                </w:p>
              </w:tc>
            </w:tr>
          </w:tbl>
          <w:bookmarkEnd w:id="59"/>
        </w:tc>
      </w:tr>
    </w:tbl>
    <w:tbl>
      <w:tblPr>
        <w:tblStyle w:val="Table"/>
        <w:tblW w:type="pct" w:w="5000"/>
        <w:tblLayout w:type="fixed"/>
        <w:tblLook w:firstRow="0" w:lastRow="0" w:firstColumn="0" w:lastColumn="0" w:noHBand="0" w:noVBand="0" w:val="0000"/>
      </w:tblPr>
      <w:tblGrid>
        <w:gridCol w:w="7920"/>
      </w:tblGrid>
      <w:tr>
        <w:tc>
          <w:tcPr/>
          <w:bookmarkStart w:id="64" w:name="fig-final-constraint-plot"/>
          <w:tbl>
            <w:tblPr>
              <w:tblStyle w:val="Table"/>
              <w:tblW w:type="pct" w:w="5000"/>
              <w:tblLayout w:type="fixed"/>
              <w:tblLook w:firstRow="0" w:lastRow="0" w:firstColumn="0" w:lastColumn="0" w:noHBand="0" w:noVBand="0" w:val="0000"/>
            </w:tblPr>
            <w:tblGrid>
              <w:gridCol w:w="7920"/>
            </w:tblGrid>
            <w:tr>
              <w:tc>
                <w:tcPr/>
                <w:bookmarkStart w:id="63" w:name="fig-final-constraint-plot"/>
                <w:p>
                  <w:pPr>
                    <w:pStyle w:val="Compact"/>
                    <w:jc w:val="center"/>
                    <w:jc w:val="center"/>
                  </w:pPr>
                  <w:r>
                    <w:drawing>
                      <wp:inline>
                        <wp:extent cx="5969000" cy="4476749"/>
                        <wp:effectExtent b="0" l="0" r="0" t="0"/>
                        <wp:docPr descr="" title="" id="61" name="Picture"/>
                        <a:graphic>
                          <a:graphicData uri="http://schemas.openxmlformats.org/drawingml/2006/picture">
                            <pic:pic>
                              <pic:nvPicPr>
                                <pic:cNvPr descr="6.-S3_data_analysis_files/figure-docx/fig-final-constraint-plot-1.png" id="62" name="Picture"/>
                                <pic:cNvPicPr>
                                  <a:picLocks noChangeArrowheads="1" noChangeAspect="1"/>
                                </pic:cNvPicPr>
                              </pic:nvPicPr>
                              <pic:blipFill>
                                <a:blip r:embed="rId60"/>
                                <a:stretch>
                                  <a:fillRect/>
                                </a:stretch>
                              </pic:blipFill>
                              <pic:spPr bwMode="auto">
                                <a:xfrm>
                                  <a:off x="0" y="0"/>
                                  <a:ext cx="5969000" cy="4476749"/>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Negative values represent active biological attraction beyond spatial probability</w:t>
                  </w:r>
                </w:p>
                <w:bookmarkEnd w:id="63"/>
              </w:tc>
            </w:tr>
          </w:tbl>
          <w:p>
            <w:pPr>
              <w:jc w:val="center"/>
            </w:pPr>
            <w:pPr>
              <w:jc w:val="start"/>
              <w:spacing w:before="200"/>
              <w:pStyle w:val="ImageCaption"/>
            </w:pPr>
            <w:r>
              <w:t xml:space="preserve">Figure 7: Biological selection vs. geometric constraint</w:t>
            </w:r>
          </w:p>
          <w:bookmarkEnd w:id="64"/>
        </w:tc>
      </w:tr>
    </w:tbl>
    <w:p>
      <w:pPr>
        <w:pStyle w:val="Normalcentr"/>
      </w:pPr>
      <w:r>
        <w:rPr>
          <w:b/>
          <w:bCs/>
        </w:rPr>
        <w:t xml:space="preserve">Conclusion:</w:t>
      </w:r>
      <w:r>
        <w:t xml:space="preserve"> </w:t>
      </w:r>
      <w:r>
        <w:t xml:space="preserve">The aggregated model provides a more conservative and honest estimate of the</w:t>
      </w:r>
      <w:r>
        <w:t xml:space="preserve"> </w:t>
      </w:r>
      <w:r>
        <w:t xml:space="preserve">“</w:t>
      </w:r>
      <w:r>
        <w:t xml:space="preserve">geometric niche.</w:t>
      </w:r>
      <w:r>
        <w:t xml:space="preserve">”</w:t>
      </w:r>
      <w:r>
        <w:t xml:space="preserve"> </w:t>
      </w:r>
      <w:r>
        <w:t xml:space="preserve">It demonstrates that, once individual-level noise is removed, there is no evidence for a strong non-linear selection effect across the surface root density gradient. Root selection is not merely a byproduct of encountering more roots in dense areas, but a consistent biological signal.</w:t>
      </w:r>
    </w:p>
    <w:bookmarkEnd w:id="65"/>
    <w:bookmarkEnd w:id="66"/>
    <w:bookmarkStart w:id="85" w:name="X15e52c1c901ff5d75cef85daab595af69decc74"/>
    <w:p>
      <w:pPr>
        <w:pStyle w:val="Titre2"/>
      </w:pPr>
      <w:r>
        <w:t xml:space="preserve">3. The selection - demography link : trait or by-product ?</w:t>
      </w:r>
    </w:p>
    <w:bookmarkStart w:id="67" w:name="context-1"/>
    <w:p>
      <w:pPr>
        <w:pStyle w:val="Titre3"/>
      </w:pPr>
      <w:r>
        <w:rPr>
          <w:b/>
          <w:bCs/>
        </w:rPr>
        <w:t xml:space="preserve">Context</w:t>
      </w:r>
    </w:p>
    <w:p>
      <w:pPr>
        <w:pStyle w:val="FirstParagraph"/>
      </w:pPr>
      <w:r>
        <w:t xml:space="preserve">We tested two competing hypotheses to explain the relationship between spatial behavior and population dynamics: a density-driven approach, which tests whether demographic processes dictate spatial behavior, and a performance-based approach, which tests whether the ability to locate and exploit roots leads to population growth.</w:t>
      </w:r>
    </w:p>
    <w:p>
      <w:pPr>
        <w:pStyle w:val="SourceCode"/>
      </w:pPr>
      <w:r>
        <w:rPr>
          <w:rStyle w:val="NormalTok"/>
        </w:rPr>
        <w:t xml:space="preserve">density_driven_model </w:t>
      </w:r>
      <w:r>
        <w:rPr>
          <w:rStyle w:val="OtherTok"/>
        </w:rPr>
        <w:t xml:space="preserve">&lt;-</w:t>
      </w:r>
      <w:r>
        <w:rPr>
          <w:rStyle w:val="NormalTok"/>
        </w:rPr>
        <w:t xml:space="preserve"> </w:t>
      </w:r>
      <w:r>
        <w:rPr>
          <w:rStyle w:val="FunctionTok"/>
        </w:rPr>
        <w:t xml:space="preserve">gam</w:t>
      </w:r>
      <w:r>
        <w:rPr>
          <w:rStyle w:val="NormalTok"/>
        </w:rPr>
        <w:t xml:space="preserve">(delta.resid </w:t>
      </w:r>
      <w:r>
        <w:rPr>
          <w:rStyle w:val="SpecialCharTok"/>
        </w:rPr>
        <w:t xml:space="preserve">~</w:t>
      </w:r>
      <w:r>
        <w:rPr>
          <w:rStyle w:val="NormalTok"/>
        </w:rPr>
        <w:t xml:space="preserve"> Predicted.class.levelup </w:t>
      </w:r>
      <w:r>
        <w:rPr>
          <w:rStyle w:val="SpecialCharTok"/>
        </w:rPr>
        <w:t xml:space="preserve">+</w:t>
      </w:r>
      <w:r>
        <w:rPr>
          <w:rStyle w:val="NormalTok"/>
        </w:rPr>
        <w:t xml:space="preserve"> root_type </w:t>
      </w:r>
      <w:r>
        <w:rPr>
          <w:rStyle w:val="SpecialCharTok"/>
        </w:rPr>
        <w:t xml:space="preserve">+</w:t>
      </w:r>
      <w:r>
        <w:rPr>
          <w:rStyle w:val="NormalTok"/>
        </w:rPr>
        <w:t xml:space="preserve"> </w:t>
      </w:r>
      <w:r>
        <w:rPr>
          <w:rStyle w:val="FunctionTok"/>
        </w:rPr>
        <w:t xml:space="preserve">s</w:t>
      </w:r>
      <w:r>
        <w:rPr>
          <w:rStyle w:val="NormalTok"/>
        </w:rPr>
        <w:t xml:space="preserve">(abundance, </w:t>
      </w:r>
      <w:r>
        <w:rPr>
          <w:rStyle w:val="AttributeTok"/>
        </w:rPr>
        <w:t xml:space="preserve">by =</w:t>
      </w:r>
      <w:r>
        <w:rPr>
          <w:rStyle w:val="FunctionTok"/>
        </w:rPr>
        <w:t xml:space="preserve">interaction</w:t>
      </w:r>
      <w:r>
        <w:rPr>
          <w:rStyle w:val="NormalTok"/>
        </w:rPr>
        <w:t xml:space="preserve">(Predicted.class.levelup, root_type, </w:t>
      </w:r>
      <w:r>
        <w:rPr>
          <w:rStyle w:val="AttributeTok"/>
        </w:rPr>
        <w:t xml:space="preserve">drop=</w:t>
      </w:r>
      <w:r>
        <w:rPr>
          <w:rStyle w:val="ConstantTok"/>
        </w:rPr>
        <w:t xml:space="preserve">TRUE</w:t>
      </w:r>
      <w:r>
        <w:rPr>
          <w:rStyle w:val="NormalTok"/>
        </w:rPr>
        <w:t xml:space="preserve">), </w:t>
      </w:r>
      <w:r>
        <w:rPr>
          <w:rStyle w:val="AttributeTok"/>
        </w:rPr>
        <w:t xml:space="preserve">k=</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w:t>
      </w:r>
      <w:r>
        <w:rPr>
          <w:rStyle w:val="NormalTok"/>
        </w:rPr>
        <w:t xml:space="preserve">(scanner, </w:t>
      </w:r>
      <w:r>
        <w:rPr>
          <w:rStyle w:val="AttributeTok"/>
        </w:rPr>
        <w:t xml:space="preserve">bs=</w:t>
      </w:r>
      <w:r>
        <w:rPr>
          <w:rStyle w:val="StringTok"/>
        </w:rPr>
        <w:t xml:space="preserve">"re"</w:t>
      </w:r>
      <w:r>
        <w:rPr>
          <w:rStyle w:val="NormalTok"/>
        </w:rPr>
        <w:t xml:space="preserve">)</w:t>
      </w:r>
      <w:r>
        <w:rPr>
          <w:rStyle w:val="SpecialCharTok"/>
        </w:rPr>
        <w:t xml:space="preserve">+</w:t>
      </w:r>
      <w:r>
        <w:rPr>
          <w:rStyle w:val="NormalTok"/>
        </w:rPr>
        <w:t xml:space="preserve"> </w:t>
      </w:r>
      <w:r>
        <w:rPr>
          <w:rStyle w:val="FunctionTok"/>
        </w:rPr>
        <w:t xml:space="preserve">s</w:t>
      </w:r>
      <w:r>
        <w:rPr>
          <w:rStyle w:val="NormalTok"/>
        </w:rPr>
        <w:t xml:space="preserve">(period, </w:t>
      </w:r>
      <w:r>
        <w:rPr>
          <w:rStyle w:val="AttributeTok"/>
        </w:rPr>
        <w:t xml:space="preserve">bs=</w:t>
      </w:r>
      <w:r>
        <w:rPr>
          <w:rStyle w:val="StringTok"/>
        </w:rPr>
        <w:t xml:space="preserve">"re"</w:t>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select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habitat_delta)</w:t>
      </w:r>
    </w:p>
    <w:p>
      <w:pPr>
        <w:pStyle w:val="SourceCode"/>
      </w:pPr>
      <w:r>
        <w:rPr>
          <w:rStyle w:val="NormalTok"/>
        </w:rPr>
        <w:t xml:space="preserve">performance_based_model </w:t>
      </w:r>
      <w:r>
        <w:rPr>
          <w:rStyle w:val="OtherTok"/>
        </w:rPr>
        <w:t xml:space="preserve">&lt;-</w:t>
      </w:r>
      <w:r>
        <w:rPr>
          <w:rStyle w:val="NormalTok"/>
        </w:rPr>
        <w:t xml:space="preserve"> </w:t>
      </w:r>
      <w:r>
        <w:rPr>
          <w:rStyle w:val="FunctionTok"/>
        </w:rPr>
        <w:t xml:space="preserve">gam</w:t>
      </w:r>
      <w:r>
        <w:rPr>
          <w:rStyle w:val="NormalTok"/>
        </w:rPr>
        <w:t xml:space="preserve">(abundance </w:t>
      </w:r>
      <w:r>
        <w:rPr>
          <w:rStyle w:val="SpecialCharTok"/>
        </w:rPr>
        <w:t xml:space="preserve">~</w:t>
      </w:r>
      <w:r>
        <w:rPr>
          <w:rStyle w:val="NormalTok"/>
        </w:rPr>
        <w:t xml:space="preserve"> Predicted.class.levelup </w:t>
      </w:r>
      <w:r>
        <w:rPr>
          <w:rStyle w:val="SpecialCharTok"/>
        </w:rPr>
        <w:t xml:space="preserve">+</w:t>
      </w:r>
      <w:r>
        <w:rPr>
          <w:rStyle w:val="NormalTok"/>
        </w:rPr>
        <w:t xml:space="preserve"> root_type </w:t>
      </w:r>
      <w:r>
        <w:rPr>
          <w:rStyle w:val="SpecialCharTok"/>
        </w:rPr>
        <w:t xml:space="preserve">+</w:t>
      </w:r>
      <w:r>
        <w:rPr>
          <w:rStyle w:val="NormalTok"/>
        </w:rPr>
        <w:t xml:space="preserve"> </w:t>
      </w:r>
      <w:r>
        <w:rPr>
          <w:rStyle w:val="FunctionTok"/>
        </w:rPr>
        <w:t xml:space="preserve">s</w:t>
      </w:r>
      <w:r>
        <w:rPr>
          <w:rStyle w:val="NormalTok"/>
        </w:rPr>
        <w:t xml:space="preserve">(delta.resid, </w:t>
      </w:r>
      <w:r>
        <w:rPr>
          <w:rStyle w:val="AttributeTok"/>
        </w:rPr>
        <w:t xml:space="preserve">by =</w:t>
      </w:r>
      <w:r>
        <w:rPr>
          <w:rStyle w:val="NormalTok"/>
        </w:rPr>
        <w:t xml:space="preserve"> </w:t>
      </w:r>
      <w:r>
        <w:rPr>
          <w:rStyle w:val="FunctionTok"/>
        </w:rPr>
        <w:t xml:space="preserve">interaction</w:t>
      </w:r>
      <w:r>
        <w:rPr>
          <w:rStyle w:val="NormalTok"/>
        </w:rPr>
        <w:t xml:space="preserve">(Predicted.class.levelup, root_type, </w:t>
      </w:r>
      <w:r>
        <w:rPr>
          <w:rStyle w:val="AttributeTok"/>
        </w:rPr>
        <w:t xml:space="preserve">drop =</w:t>
      </w:r>
      <w:r>
        <w:rPr>
          <w:rStyle w:val="NormalTok"/>
        </w:rPr>
        <w:t xml:space="preserve"> </w:t>
      </w:r>
      <w:r>
        <w:rPr>
          <w:rStyle w:val="ConstantTok"/>
        </w:rPr>
        <w:t xml:space="preserve">TRUE</w:t>
      </w:r>
      <w:r>
        <w:rPr>
          <w:rStyle w:val="NormalTok"/>
        </w:rPr>
        <w:t xml:space="preserve">), </w:t>
      </w:r>
      <w:r>
        <w:rPr>
          <w:rStyle w:val="AttributeTok"/>
        </w:rPr>
        <w:t xml:space="preserve">k=</w:t>
      </w:r>
      <w:r>
        <w:rPr>
          <w:rStyle w:val="DecValTok"/>
        </w:rPr>
        <w:t xml:space="preserve">5</w:t>
      </w:r>
      <w:r>
        <w:rPr>
          <w:rStyle w:val="NormalTok"/>
        </w:rPr>
        <w:t xml:space="preserve">) </w:t>
      </w:r>
      <w:r>
        <w:rPr>
          <w:rStyle w:val="SpecialCharTok"/>
        </w:rPr>
        <w:t xml:space="preserve">+</w:t>
      </w:r>
      <w:r>
        <w:rPr>
          <w:rStyle w:val="NormalTok"/>
        </w:rPr>
        <w:t xml:space="preserve"> </w:t>
      </w:r>
      <w:r>
        <w:rPr>
          <w:rStyle w:val="FunctionTok"/>
        </w:rPr>
        <w:t xml:space="preserve">s</w:t>
      </w:r>
      <w:r>
        <w:rPr>
          <w:rStyle w:val="NormalTok"/>
        </w:rPr>
        <w:t xml:space="preserve">(scanner, </w:t>
      </w:r>
      <w:r>
        <w:rPr>
          <w:rStyle w:val="AttributeTok"/>
        </w:rPr>
        <w:t xml:space="preserve">bs=</w:t>
      </w:r>
      <w:r>
        <w:rPr>
          <w:rStyle w:val="StringTok"/>
        </w:rPr>
        <w:t xml:space="preserve">"re"</w:t>
      </w:r>
      <w:r>
        <w:rPr>
          <w:rStyle w:val="NormalTok"/>
        </w:rPr>
        <w:t xml:space="preserve">)</w:t>
      </w:r>
      <w:r>
        <w:rPr>
          <w:rStyle w:val="SpecialCharTok"/>
        </w:rPr>
        <w:t xml:space="preserve">+</w:t>
      </w:r>
      <w:r>
        <w:rPr>
          <w:rStyle w:val="NormalTok"/>
        </w:rPr>
        <w:t xml:space="preserve"> </w:t>
      </w:r>
      <w:r>
        <w:rPr>
          <w:rStyle w:val="FunctionTok"/>
        </w:rPr>
        <w:t xml:space="preserve">s</w:t>
      </w:r>
      <w:r>
        <w:rPr>
          <w:rStyle w:val="NormalTok"/>
        </w:rPr>
        <w:t xml:space="preserve">(period, </w:t>
      </w:r>
      <w:r>
        <w:rPr>
          <w:rStyle w:val="AttributeTok"/>
        </w:rPr>
        <w:t xml:space="preserve">bs=</w:t>
      </w:r>
      <w:r>
        <w:rPr>
          <w:rStyle w:val="StringTok"/>
        </w:rPr>
        <w:t xml:space="preserve">"re"</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select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habitat_delta)</w:t>
      </w:r>
    </w:p>
    <w:bookmarkEnd w:id="67"/>
    <w:bookmarkStart w:id="78" w:name="models-diagnostic"/>
    <w:p>
      <w:pPr>
        <w:pStyle w:val="Titre3"/>
      </w:pPr>
      <w:r>
        <w:rPr>
          <w:b/>
          <w:bCs/>
        </w:rPr>
        <w:t xml:space="preserve">Models diagnostic</w:t>
      </w:r>
    </w:p>
    <w:p>
      <w:pPr>
        <w:pStyle w:val="FirstParagraph"/>
      </w:pPr>
      <w:r>
        <w:t xml:space="preserve">Prior to inference, we performed a multi-step validation to ensure our model structures were appropriate for the data types.</w:t>
      </w:r>
    </w:p>
    <w:bookmarkStart w:id="76" w:name="fig-diagnostics"/>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1" w:name="fig-diagnostics-1"/>
                <w:p>
                  <w:pPr>
                    <w:pStyle w:val="Compact"/>
                    <w:jc w:val="center"/>
                    <w:jc w:val="left"/>
                  </w:pPr>
                  <w:r>
                    <w:drawing>
                      <wp:inline>
                        <wp:extent cx="5943600" cy="4754880"/>
                        <wp:effectExtent b="0" l="0" r="0" t="0"/>
                        <wp:docPr descr="" title="" id="69" name="Picture"/>
                        <a:graphic>
                          <a:graphicData uri="http://schemas.openxmlformats.org/drawingml/2006/picture">
                            <pic:pic>
                              <pic:nvPicPr>
                                <pic:cNvPr descr="6.-S3_data_analysis_files/figure-docx/fig-diagnostics-1.png" id="70" name="Picture"/>
                                <pic:cNvPicPr>
                                  <a:picLocks noChangeArrowheads="1" noChangeAspect="1"/>
                                </pic:cNvPicPr>
                              </pic:nvPicPr>
                              <pic:blipFill>
                                <a:blip r:embed="rId68"/>
                                <a:stretch>
                                  <a:fillRect/>
                                </a:stretch>
                              </pic:blipFill>
                              <pic:spPr bwMode="auto">
                                <a:xfrm>
                                  <a:off x="0" y="0"/>
                                  <a:ext cx="5943600" cy="475488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Density-driven Model</w:t>
                  </w:r>
                </w:p>
                <w:bookmarkEnd w:id="7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5" w:name="fig-diagnostics-2"/>
                <w:p>
                  <w:pPr>
                    <w:pStyle w:val="Compact"/>
                    <w:jc w:val="center"/>
                    <w:jc w:val="left"/>
                  </w:pPr>
                  <w:r>
                    <w:drawing>
                      <wp:inline>
                        <wp:extent cx="5943600" cy="4754880"/>
                        <wp:effectExtent b="0" l="0" r="0" t="0"/>
                        <wp:docPr descr="" title="" id="73" name="Picture"/>
                        <a:graphic>
                          <a:graphicData uri="http://schemas.openxmlformats.org/drawingml/2006/picture">
                            <pic:pic>
                              <pic:nvPicPr>
                                <pic:cNvPr descr="6.-S3_data_analysis_files/figure-docx/fig-diagnostics-2.png" id="74" name="Picture"/>
                                <pic:cNvPicPr>
                                  <a:picLocks noChangeArrowheads="1" noChangeAspect="1"/>
                                </pic:cNvPicPr>
                              </pic:nvPicPr>
                              <pic:blipFill>
                                <a:blip r:embed="rId72"/>
                                <a:stretch>
                                  <a:fillRect/>
                                </a:stretch>
                              </pic:blipFill>
                              <pic:spPr bwMode="auto">
                                <a:xfrm>
                                  <a:off x="0" y="0"/>
                                  <a:ext cx="5943600" cy="475488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Performance-based Model</w:t>
                  </w:r>
                </w:p>
                <w:bookmarkEnd w:id="75"/>
              </w:tc>
            </w:tr>
          </w:tbl>
          <w:p/>
        </w:tc>
      </w:tr>
    </w:tbl>
    <w:p>
      <w:pPr>
        <w:pStyle w:val="Corpsdetexte"/>
      </w:pPr>
      <w:pPr>
        <w:spacing w:before="200"/>
        <w:pStyle w:val="ImageCaption"/>
      </w:pPr>
      <w:r>
        <w:t xml:space="preserve">Figure 8: Diagnostic plots for (A) density-driven and (B) performance-based models. Left panels show QQ-plots of residuals; right panels show residuals vs. predicted values.</w:t>
      </w:r>
    </w:p>
    <w:bookmarkEnd w:id="76"/>
    <w:tbl>
      <w:tblPr>
        <w:tblStyle w:val="Table"/>
        <w:tblW w:type="pct" w:w="5000"/>
        <w:tblLayout w:type="fixed"/>
        <w:tblLook w:firstRow="0" w:lastRow="0" w:firstColumn="0" w:lastColumn="0" w:noHBand="0" w:noVBand="0" w:val="0000"/>
      </w:tblPr>
      <w:tblGrid>
        <w:gridCol w:w="7920"/>
      </w:tblGrid>
      <w:tr>
        <w:tc>
          <w:tcPr/>
          <w:bookmarkStart w:id="77" w:name="tbl-diagnostic-summary"/>
          <w:p>
            <w:pPr>
              <w:jc w:val="center"/>
            </w:pPr>
            <w:pPr>
              <w:jc w:val="start"/>
              <w:spacing w:before="200"/>
              <w:pStyle w:val="ImageCaption"/>
            </w:pPr>
            <w:r>
              <w:t xml:space="preserve">Table 4: Summary of model specifications and convergence diagnostics.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440"/>
              <w:gridCol w:w="1440"/>
              <w:gridCol w:w="1440"/>
              <w:gridCol w:w="1440"/>
            </w:tblGrid>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Hypothesis</w:t>
                  </w:r>
                </w:p>
              </w:tc>
              <w:tc>
                <w:tcPr>
                  <w:tcBorders>
                    <w:bottom w:val="single" w:sz="8" w:space="0" w:color="000000"/>
                    <w:top w:val="single" w:sz="8" w:space="0" w:color="000000"/>
                    <w:left w:val="single" w:sz="4" w:space="0" w:color="000000"/>
                    <w:right w:val="single" w:sz="4"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Family (Link)</w:t>
                  </w:r>
                </w:p>
              </w:tc>
              <w:tc>
                <w:tcPr>
                  <w:tcBorders>
                    <w:bottom w:val="single" w:sz="8" w:space="0" w:color="000000"/>
                    <w:top w:val="single" w:sz="8" w:space="0" w:color="000000"/>
                    <w:left w:val="single" w:sz="4" w:space="0" w:color="000000"/>
                    <w:right w:val="single" w:sz="4"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Deviance Explained</w:t>
                  </w:r>
                </w:p>
              </w:tc>
              <w:tc>
                <w:tcPr>
                  <w:tcBorders>
                    <w:bottom w:val="single" w:sz="8" w:space="0" w:color="000000"/>
                    <w:top w:val="single" w:sz="8" w:space="0" w:color="000000"/>
                    <w:left w:val="single" w:sz="4" w:space="0" w:color="000000"/>
                    <w:right w:val="single" w:sz="4"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Scale/Dispersion</w:t>
                  </w:r>
                </w:p>
              </w:tc>
              <w:tc>
                <w:tcPr>
                  <w:tcBorders>
                    <w:bottom w:val="single" w:sz="8" w:space="0" w:color="000000"/>
                    <w:top w:val="single" w:sz="8" w:space="0" w:color="000000"/>
                    <w:left w:val="single" w:sz="4" w:space="0" w:color="000000"/>
                    <w:right w:val="single" w:sz="4"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DHARMa (p)</w:t>
                  </w:r>
                </w:p>
              </w:tc>
              <w:tc>
                <w:tcPr>
                  <w:tcBorders>
                    <w:bottom w:val="single" w:sz="8" w:space="0" w:color="000000"/>
                    <w:top w:val="single" w:sz="8" w:space="0" w:color="000000"/>
                    <w:left w:val="single" w:sz="4" w:space="0" w:color="000000"/>
                    <w:right w:val="single" w:sz="8"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Convergence</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Density-driven</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gaussian(identity)</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0.7%</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1.424</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0.864</w:t>
                  </w:r>
                </w:p>
              </w:tc>
              <w:tc>
                <w:tcPr>
                  <w:tcBorders>
                    <w:bottom w:val="single" w:sz="4" w:space="0" w:color="999999"/>
                    <w:top w:val="single" w:sz="8" w:space="0" w:color="000000"/>
                    <w:left w:val="single" w:sz="4" w:space="0" w:color="999999"/>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Converged</w:t>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Performance-based</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Gamma(log)</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41.7%</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0.102</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0.208</w:t>
                  </w:r>
                </w:p>
              </w:tc>
              <w:tc>
                <w:tcPr>
                  <w:tcBorders>
                    <w:bottom w:val="single" w:sz="8" w:space="0" w:color="000000"/>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Converged</w:t>
                  </w:r>
                </w:p>
              </w:tc>
            </w:tr>
          </w:tbl>
          <w:bookmarkEnd w:id="77"/>
        </w:tc>
      </w:tr>
    </w:tbl>
    <w:p>
      <w:pPr>
        <w:pStyle w:val="Corpsdetexte"/>
      </w:pPr>
      <w:r>
        <w:t xml:space="preserve">As detailed in</w:t>
      </w:r>
      <w:r>
        <w:t xml:space="preserve"> </w:t>
      </w:r>
      <w:hyperlink w:anchor="tbl-diagnostic-summary">
        <w:r>
          <w:rPr>
            <w:rStyle w:val="Lienhypertexte"/>
          </w:rPr>
          <w:t xml:space="preserve">Table 4</w:t>
        </w:r>
      </w:hyperlink>
      <w:r>
        <w:t xml:space="preserve">, the validation phase confirms that the models are structurally sound :</w:t>
      </w:r>
    </w:p>
    <w:p>
      <w:pPr>
        <w:numPr>
          <w:ilvl w:val="0"/>
          <w:numId w:val="1003"/>
        </w:numPr>
      </w:pPr>
      <w:r>
        <w:t xml:space="preserve">The perfomance-based model (deviance explained: 34%) effectively captures the variance in abundance using the Gamma distribution. The DHARMa p-value (</w:t>
      </w:r>
      <m:oMath>
        <m:r>
          <m:t>p</m:t>
        </m:r>
        <m:r>
          <m:rPr>
            <m:sty m:val="p"/>
          </m:rPr>
          <m:t>=</m:t>
        </m:r>
        <m:r>
          <m:t>0.208</m:t>
        </m:r>
      </m:oMath>
      <w:r>
        <w:t xml:space="preserve">) confirms that the log-link successfully handled the mean-variance scaling without over dispersion.</w:t>
      </w:r>
    </w:p>
    <w:p>
      <w:pPr>
        <w:numPr>
          <w:ilvl w:val="0"/>
          <w:numId w:val="1003"/>
        </w:numPr>
      </w:pPr>
      <w:r>
        <w:t xml:space="preserve">In the density-driven model, the very low deviance explained (2.1%) and EDF values near 0 indicate a nearly flat or strictly linear relationship. This suggests that population density is a poor predictor of selection strength, effectively ruling out a strong density-dependent</w:t>
      </w:r>
      <w:r>
        <w:t xml:space="preserve"> </w:t>
      </w:r>
      <w:r>
        <w:t xml:space="preserve">“</w:t>
      </w:r>
      <w:r>
        <w:t xml:space="preserve">mechanical</w:t>
      </w:r>
      <w:r>
        <w:t xml:space="preserve">”</w:t>
      </w:r>
      <w:r>
        <w:t xml:space="preserve"> </w:t>
      </w:r>
      <w:r>
        <w:t xml:space="preserve">driver.</w:t>
      </w:r>
    </w:p>
    <w:p>
      <w:pPr>
        <w:numPr>
          <w:ilvl w:val="0"/>
          <w:numId w:val="1003"/>
        </w:numPr>
      </w:pPr>
      <w:r>
        <w:t xml:space="preserve">The</w:t>
      </w:r>
      <w:r>
        <w:t xml:space="preserve"> </w:t>
      </w:r>
      <w:r>
        <w:rPr>
          <w:rStyle w:val="VerbatimChar"/>
        </w:rPr>
        <w:t xml:space="preserve">gam.check</w:t>
      </w:r>
      <w:r>
        <w:t xml:space="preserve"> </w:t>
      </w:r>
      <w:r>
        <w:t xml:space="preserve">results confirm we did not</w:t>
      </w:r>
      <w:r>
        <w:t xml:space="preserve"> </w:t>
      </w:r>
      <w:r>
        <w:t xml:space="preserve">“</w:t>
      </w:r>
      <w:r>
        <w:t xml:space="preserve">choke</w:t>
      </w:r>
      <w:r>
        <w:t xml:space="preserve">”</w:t>
      </w:r>
      <w:r>
        <w:t xml:space="preserve"> </w:t>
      </w:r>
      <w:r>
        <w:t xml:space="preserve">the models. In the performance-based model,</w:t>
      </w:r>
      <w:r>
        <w:t xml:space="preserve"> </w:t>
      </w:r>
      <m:oMath>
        <m:r>
          <m:t>E</m:t>
        </m:r>
        <m:r>
          <m:t>D</m:t>
        </m:r>
        <m:r>
          <m:t>F</m:t>
        </m:r>
        <m:r>
          <m:rPr>
            <m:sty m:val="p"/>
          </m:rPr>
          <m:t>&lt;</m:t>
        </m:r>
        <m:r>
          <m:t>k</m:t>
        </m:r>
        <m:r>
          <m:rPr>
            <m:sty m:val="p"/>
          </m:rPr>
          <m:t>′</m:t>
        </m:r>
      </m:oMath>
      <w:r>
        <w:t xml:space="preserve">, proving the smoothers had sufficient flexibility. In the density-driven model, the low</w:t>
      </w:r>
      <w:r>
        <w:t xml:space="preserve"> </w:t>
      </w:r>
      <m:oMath>
        <m:r>
          <m:t>k</m:t>
        </m:r>
      </m:oMath>
      <w:r>
        <w:t xml:space="preserve">-index is an artifact of the lack of signal (linearity) rather than a lack of basis functions.</w:t>
      </w:r>
    </w:p>
    <w:p>
      <w:pPr>
        <w:pStyle w:val="Normalcentr"/>
      </w:pPr>
      <w:r>
        <w:rPr>
          <w:b/>
          <w:bCs/>
        </w:rPr>
        <w:t xml:space="preserve">Conclusion:</w:t>
      </w:r>
      <w:r>
        <w:t xml:space="preserve"> </w:t>
      </w:r>
      <w:r>
        <w:t xml:space="preserve">We accept both models for final interpretation. The performance-based approach provides a strong explanatory framework for success, while the density-driven approach serves as a robust</w:t>
      </w:r>
      <w:r>
        <w:t xml:space="preserve"> </w:t>
      </w:r>
      <w:r>
        <w:t xml:space="preserve">“</w:t>
      </w:r>
      <w:r>
        <w:t xml:space="preserve">null-effect</w:t>
      </w:r>
      <w:r>
        <w:t xml:space="preserve">”</w:t>
      </w:r>
      <w:r>
        <w:t xml:space="preserve"> </w:t>
      </w:r>
      <w:r>
        <w:t xml:space="preserve">test for density-dependence.</w:t>
      </w:r>
    </w:p>
    <w:bookmarkEnd w:id="78"/>
    <w:bookmarkStart w:id="84" w:name="models-results"/>
    <w:p>
      <w:pPr>
        <w:pStyle w:val="Titre3"/>
      </w:pPr>
      <w:r>
        <w:rPr>
          <w:b/>
          <w:bCs/>
        </w:rPr>
        <w:t xml:space="preserve">Models results</w:t>
      </w:r>
    </w:p>
    <w:p>
      <w:pPr>
        <w:pStyle w:val="FirstParagraph"/>
      </w:pPr>
      <w:r>
        <w:t xml:space="preserve">“To isolate the biological signal from environmental noise, we partitioned the deviance explained into</w:t>
      </w:r>
      <w:r>
        <w:t xml:space="preserve"> </w:t>
      </w:r>
      <w:r>
        <w:rPr>
          <w:b/>
          <w:bCs/>
        </w:rPr>
        <w:t xml:space="preserve">marginal</w:t>
      </w:r>
      <w:r>
        <w:t xml:space="preserve"> </w:t>
      </w:r>
      <m:oMath>
        <m:sSup>
          <m:e>
            <m:r>
              <m:t>D</m:t>
            </m:r>
          </m:e>
          <m:sup>
            <m:r>
              <m:t>2</m:t>
            </m:r>
          </m:sup>
        </m:sSup>
      </m:oMath>
      <w:r>
        <w:t xml:space="preserve"> </w:t>
      </w:r>
      <w:r>
        <w:t xml:space="preserve">(fixed biological predictors) and</w:t>
      </w:r>
      <w:r>
        <w:t xml:space="preserve"> </w:t>
      </w:r>
      <w:r>
        <w:rPr>
          <w:b/>
          <w:bCs/>
        </w:rPr>
        <w:t xml:space="preserve">random</w:t>
      </w:r>
      <w:r>
        <w:t xml:space="preserve"> </w:t>
      </w:r>
      <m:oMath>
        <m:sSup>
          <m:e>
            <m:r>
              <m:t>D</m:t>
            </m:r>
          </m:e>
          <m:sup>
            <m:r>
              <m:t>2</m:t>
            </m:r>
          </m:sup>
        </m:sSup>
      </m:oMath>
      <w:r>
        <w:t xml:space="preserve"> </w:t>
      </w:r>
      <w:r>
        <w:t xml:space="preserve">(stochastic variation from scanner and period). We prioritized</w:t>
      </w:r>
      <w:r>
        <w:t xml:space="preserve"> </w:t>
      </w:r>
      <m:oMath>
        <m:sSup>
          <m:e>
            <m:r>
              <m:t>D</m:t>
            </m:r>
          </m:e>
          <m:sup>
            <m:r>
              <m:t>2</m:t>
            </m:r>
          </m:sup>
        </m:sSup>
      </m:oMath>
      <w:r>
        <w:t xml:space="preserve"> </w:t>
      </w:r>
      <w:r>
        <w:t xml:space="preserve">over the traditional</w:t>
      </w:r>
      <w:r>
        <w:t xml:space="preserve"> </w:t>
      </w:r>
      <m:oMath>
        <m:sSup>
          <m:e>
            <m:r>
              <m:t>R</m:t>
            </m:r>
          </m:e>
          <m:sup>
            <m:r>
              <m:t>2</m:t>
            </m:r>
          </m:sup>
        </m:sSup>
      </m:oMath>
      <w:r>
        <w:t xml:space="preserve"> </w:t>
      </w:r>
      <w:r>
        <w:t xml:space="preserve">as it provides a more accurate measure of fit for the likelihood-based framework of GAMs.</w:t>
      </w:r>
    </w:p>
    <w:p>
      <w:pPr>
        <w:pStyle w:val="Corpsdetexte"/>
      </w:pPr>
      <w:r>
        <w:t xml:space="preserve">We compared our full models against</w:t>
      </w:r>
      <w:r>
        <w:t xml:space="preserve"> </w:t>
      </w:r>
      <w:r>
        <w:t xml:space="preserve">“</w:t>
      </w:r>
      <w:r>
        <w:t xml:space="preserve">null</w:t>
      </w:r>
      <w:r>
        <w:t xml:space="preserve">”</w:t>
      </w:r>
      <w:r>
        <w:t xml:space="preserve"> </w:t>
      </w:r>
      <w:r>
        <w:t xml:space="preserve">(random effects only) models to isolate three specific components of variation:</w:t>
      </w:r>
    </w:p>
    <w:p>
      <w:pPr>
        <w:numPr>
          <w:ilvl w:val="0"/>
          <w:numId w:val="1004"/>
        </w:numPr>
      </w:pPr>
      <w:r>
        <w:t xml:space="preserve">Total deviance (</w:t>
      </w:r>
      <m:oMath>
        <m:sSubSup>
          <m:e>
            <m:r>
              <m:t>D</m:t>
            </m:r>
          </m:e>
          <m:sub>
            <m:r>
              <m:t>T</m:t>
            </m:r>
            <m:r>
              <m:t>o</m:t>
            </m:r>
            <m:r>
              <m:t>t</m:t>
            </m:r>
            <m:r>
              <m:t>a</m:t>
            </m:r>
            <m:r>
              <m:t>l</m:t>
            </m:r>
          </m:sub>
          <m:sup>
            <m:r>
              <m:t>2</m:t>
            </m:r>
          </m:sup>
        </m:sSubSup>
      </m:oMath>
      <w:r>
        <w:t xml:space="preserve">): The proportion of null deviance explained by the full model specification, including fixed factors, smooth terms, and random effects.</w:t>
      </w:r>
    </w:p>
    <w:p>
      <w:pPr>
        <w:numPr>
          <w:ilvl w:val="0"/>
          <w:numId w:val="1004"/>
        </w:numPr>
      </w:pPr>
      <w:r>
        <w:t xml:space="preserve">Random effect deviance (</w:t>
      </w:r>
      <m:oMath>
        <m:sSubSup>
          <m:e>
            <m:r>
              <m:t>D</m:t>
            </m:r>
          </m:e>
          <m:sub>
            <m:r>
              <m:t>R</m:t>
            </m:r>
            <m:r>
              <m:t>a</m:t>
            </m:r>
            <m:r>
              <m:t>n</m:t>
            </m:r>
            <m:r>
              <m:t>d</m:t>
            </m:r>
            <m:r>
              <m:t>o</m:t>
            </m:r>
            <m:r>
              <m:t>m</m:t>
            </m:r>
          </m:sub>
          <m:sup>
            <m:r>
              <m:t>2</m:t>
            </m:r>
          </m:sup>
        </m:sSubSup>
      </m:oMath>
      <w:r>
        <w:t xml:space="preserve">): Extracted from a reduced model containing only the random intercepts (</w:t>
      </w:r>
      <w:r>
        <w:rPr>
          <w:rStyle w:val="VerbatimChar"/>
        </w:rPr>
        <w:t xml:space="preserve">scanner</w:t>
      </w:r>
      <w:r>
        <w:t xml:space="preserve"> </w:t>
      </w:r>
      <w:r>
        <w:t xml:space="preserve">and</w:t>
      </w:r>
      <w:r>
        <w:t xml:space="preserve"> </w:t>
      </w:r>
      <w:r>
        <w:rPr>
          <w:rStyle w:val="VerbatimChar"/>
        </w:rPr>
        <w:t xml:space="preserve">period</w:t>
      </w:r>
      <w:r>
        <w:t xml:space="preserve">) and parametric fixed factors (</w:t>
      </w:r>
      <w:r>
        <w:rPr>
          <w:rStyle w:val="VerbatimChar"/>
        </w:rPr>
        <w:t xml:space="preserve">Predicted.class.levelup</w:t>
      </w:r>
      <w:r>
        <w:t xml:space="preserve"> </w:t>
      </w:r>
      <w:r>
        <w:t xml:space="preserve">and</w:t>
      </w:r>
      <w:r>
        <w:t xml:space="preserve"> </w:t>
      </w:r>
      <w:r>
        <w:rPr>
          <w:rStyle w:val="VerbatimChar"/>
        </w:rPr>
        <w:t xml:space="preserve">root_type</w:t>
      </w:r>
      <w:r>
        <w:t xml:space="preserve">). It must represent the background variation inherent to the experimental design.</w:t>
      </w:r>
    </w:p>
    <w:p>
      <w:pPr>
        <w:numPr>
          <w:ilvl w:val="0"/>
          <w:numId w:val="1004"/>
        </w:numPr>
      </w:pPr>
      <w:r>
        <w:t xml:space="preserve">Marginal deviance (</w:t>
      </w:r>
      <m:oMath>
        <m:sSubSup>
          <m:e>
            <m:r>
              <m:t>D</m:t>
            </m:r>
          </m:e>
          <m:sub>
            <m:r>
              <m:t>M</m:t>
            </m:r>
            <m:r>
              <m:t>a</m:t>
            </m:r>
            <m:r>
              <m:t>r</m:t>
            </m:r>
            <m:r>
              <m:t>g</m:t>
            </m:r>
            <m:r>
              <m:t>i</m:t>
            </m:r>
            <m:r>
              <m:t>n</m:t>
            </m:r>
            <m:r>
              <m:t>a</m:t>
            </m:r>
            <m:r>
              <m:t>l</m:t>
            </m:r>
          </m:sub>
          <m:sup>
            <m:r>
              <m:t>2</m:t>
            </m:r>
          </m:sup>
        </m:sSubSup>
      </m:oMath>
      <w:r>
        <w:t xml:space="preserve">): Calculated as</w:t>
      </w:r>
      <w:r>
        <w:t xml:space="preserve"> </w:t>
      </w:r>
      <m:oMath>
        <m:sSubSup>
          <m:e>
            <m:r>
              <m:t>D</m:t>
            </m:r>
          </m:e>
          <m:sub>
            <m:r>
              <m:t>T</m:t>
            </m:r>
            <m:r>
              <m:t>o</m:t>
            </m:r>
            <m:r>
              <m:t>t</m:t>
            </m:r>
            <m:r>
              <m:t>a</m:t>
            </m:r>
            <m:r>
              <m:t>l</m:t>
            </m:r>
          </m:sub>
          <m:sup>
            <m:r>
              <m:t>2</m:t>
            </m:r>
          </m:sup>
        </m:sSubSup>
        <m:r>
          <m:rPr>
            <m:sty m:val="p"/>
          </m:rPr>
          <m:t>−</m:t>
        </m:r>
        <m:sSubSup>
          <m:e>
            <m:r>
              <m:t>D</m:t>
            </m:r>
          </m:e>
          <m:sub>
            <m:r>
              <m:t>R</m:t>
            </m:r>
            <m:r>
              <m:t>a</m:t>
            </m:r>
            <m:r>
              <m:t>n</m:t>
            </m:r>
            <m:r>
              <m:t>d</m:t>
            </m:r>
            <m:r>
              <m:t>o</m:t>
            </m:r>
            <m:r>
              <m:t>m</m:t>
            </m:r>
          </m:sub>
          <m:sup>
            <m:r>
              <m:t>2</m:t>
            </m:r>
          </m:sup>
        </m:sSubSup>
      </m:oMath>
      <w:r>
        <w:t xml:space="preserve">. This value represents the specific explanatory power gained by including the smoothed biological predictors.</w:t>
      </w:r>
    </w:p>
    <w:tbl>
      <w:tblPr>
        <w:tblStyle w:val="Table"/>
        <w:tblW w:type="pct" w:w="5000"/>
        <w:tblLayout w:type="fixed"/>
        <w:tblLook w:firstRow="0" w:lastRow="0" w:firstColumn="0" w:lastColumn="0" w:noHBand="0" w:noVBand="0" w:val="0000"/>
      </w:tblPr>
      <w:tblGrid>
        <w:gridCol w:w="7920"/>
      </w:tblGrid>
      <w:tr>
        <w:tc>
          <w:tcPr/>
          <w:bookmarkStart w:id="79" w:name="tbl-unified-results"/>
          <w:p>
            <w:pPr>
              <w:jc w:val="center"/>
            </w:pPr>
            <w:pPr>
              <w:jc w:val="start"/>
              <w:spacing w:before="200"/>
              <w:pStyle w:val="ImageCaption"/>
            </w:pPr>
            <w:r>
              <w:t xml:space="preserve">Table 5: Final synthesis of model performance and deviance partitioning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1440"/>
              <w:gridCol w:w="1152"/>
              <w:gridCol w:w="1152"/>
              <w:gridCol w:w="1152"/>
              <w:gridCol w:w="1152"/>
              <w:gridCol w:w="1296"/>
            </w:tblGrid>
            <w:tr>
              <w:trPr>
                <w:cantSplit/>
                <w:trHeight w:val="360" w:hRule="auto"/>
                <w:tblHeader/>
              </w:trPr>
              <w:tc>
                <w:tcPr>
                  <w:gridSpan w:val="2"/>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
                  </w:r>
                </w:p>
              </w:tc>
              <w:tc>
                <w:tcPr>
                  <w:gridSpan w:val="3"/>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Deviance Partitioning (D²)</w:t>
                  </w:r>
                </w:p>
              </w:tc>
              <w:tc>
                <w:tcPr>
                  <w:gridSpan w:val="2"/>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Fit Statistics</w:t>
                  </w:r>
                </w:p>
              </w:tc>
            </w:tr>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Hypothesis</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Family</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Total D²</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Marginal D²</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Random D²</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Adj. R²</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AIC</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Density-driven</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gaussian</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0.7%</w:t>
                  </w:r>
                </w:p>
              </w:tc>
              <w:tc>
                <w:tcPr>
                  <w:tcBorders>
                    <w:bottom w:val="single" w:sz="4" w:space="0" w:color="999999"/>
                    <w:top w:val="single" w:sz="8" w:space="0" w:color="000000"/>
                    <w:left w:val="single" w:sz="4" w:space="0" w:color="999999"/>
                    <w:right w:val="single" w:sz="4" w:space="0" w:color="999999"/>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0.5%</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-0.006</w:t>
                  </w:r>
                </w:p>
              </w:tc>
              <w:tc>
                <w:tcPr>
                  <w:tcBorders>
                    <w:bottom w:val="single" w:sz="4" w:space="0" w:color="999999"/>
                    <w:top w:val="single" w:sz="8" w:space="0" w:color="000000"/>
                    <w:left w:val="single" w:sz="4" w:space="0" w:color="999999"/>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894.070</w:t>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Performance-based</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Gamma</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41.7%</w:t>
                  </w:r>
                </w:p>
              </w:tc>
              <w:tc>
                <w:tcPr>
                  <w:tcBorders>
                    <w:bottom w:val="single" w:sz="8" w:space="0" w:color="000000"/>
                    <w:top w:val="single" w:sz="4" w:space="0" w:color="999999"/>
                    <w:left w:val="single" w:sz="4" w:space="0" w:color="999999"/>
                    <w:right w:val="single" w:sz="4" w:space="0" w:color="999999"/>
                  </w:tcBorders>
                  <w:shd w:val="clear" w:color="auto" w:fill="F9F9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9.5%</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32.1%</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0.276</w:t>
                  </w:r>
                </w:p>
              </w:tc>
              <w:tc>
                <w:tcPr>
                  <w:tcBorders>
                    <w:bottom w:val="single" w:sz="8" w:space="0" w:color="000000"/>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364.816</w:t>
                  </w:r>
                </w:p>
              </w:tc>
            </w:tr>
          </w:tbl>
          <w:bookmarkEnd w:id="79"/>
        </w:tc>
      </w:tr>
    </w:tbl>
    <w:p>
      <w:pPr>
        <w:pStyle w:val="Normalcentr"/>
      </w:pPr>
      <w:r>
        <w:rPr>
          <w:b/>
          <w:bCs/>
        </w:rPr>
        <w:t xml:space="preserve">Conclusion:</w:t>
      </w:r>
      <w:r>
        <w:t xml:space="preserve"> </w:t>
      </w:r>
      <w:r>
        <w:t xml:space="preserve">We accept both models for final interpretation. The performance-based approach provides a strong explanatory framework for success, while the density-driven approach serves as a robust</w:t>
      </w:r>
      <w:r>
        <w:t xml:space="preserve"> </w:t>
      </w:r>
      <w:r>
        <w:t xml:space="preserve">“</w:t>
      </w:r>
      <w:r>
        <w:t xml:space="preserve">null-effect</w:t>
      </w:r>
      <w:r>
        <w:t xml:space="preserve">”</w:t>
      </w:r>
      <w:r>
        <w:t xml:space="preserve"> </w:t>
      </w:r>
      <w:r>
        <w:t xml:space="preserve">test for density.</w:t>
      </w:r>
    </w:p>
    <w:tbl>
      <w:tblPr>
        <w:tblStyle w:val="Table"/>
        <w:tblW w:type="pct" w:w="5000"/>
        <w:tblLayout w:type="fixed"/>
        <w:tblLook w:firstRow="0" w:lastRow="0" w:firstColumn="0" w:lastColumn="0" w:noHBand="0" w:noVBand="0" w:val="0000"/>
      </w:tblPr>
      <w:tblGrid>
        <w:gridCol w:w="7920"/>
      </w:tblGrid>
      <w:tr>
        <w:tc>
          <w:tcPr/>
          <w:bookmarkStart w:id="83" w:name="fig-performance-based-results"/>
          <w:p>
            <w:pPr>
              <w:pStyle w:val="Compact"/>
              <w:jc w:val="center"/>
            </w:pPr>
            <w:r>
              <w:drawing>
                <wp:inline>
                  <wp:extent cx="5969000" cy="4476749"/>
                  <wp:effectExtent b="0" l="0" r="0" t="0"/>
                  <wp:docPr descr="" title="" id="81" name="Picture"/>
                  <a:graphic>
                    <a:graphicData uri="http://schemas.openxmlformats.org/drawingml/2006/picture">
                      <pic:pic>
                        <pic:nvPicPr>
                          <pic:cNvPr descr="6.-S3_data_analysis_files/figure-docx/fig-performance-based-results-1.png" id="82" name="Picture"/>
                          <pic:cNvPicPr>
                            <a:picLocks noChangeArrowheads="1" noChangeAspect="1"/>
                          </pic:cNvPicPr>
                        </pic:nvPicPr>
                        <pic:blipFill>
                          <a:blip r:embed="rId80"/>
                          <a:stretch>
                            <a:fillRect/>
                          </a:stretch>
                        </pic:blipFill>
                        <pic:spPr bwMode="auto">
                          <a:xfrm>
                            <a:off x="0" y="0"/>
                            <a:ext cx="5969000" cy="4476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Demographic response to root selection intensity</w:t>
            </w:r>
          </w:p>
          <w:bookmarkEnd w:id="83"/>
        </w:tc>
      </w:tr>
    </w:tbl>
    <w:p>
      <w:pPr>
        <w:pStyle w:val="Normalcentr"/>
      </w:pPr>
      <w:r>
        <w:t xml:space="preserve">The back-transformed partial effects of the performance-based model (</w:t>
      </w:r>
      <w:hyperlink w:anchor="fig-performance-based-results">
        <w:r>
          <w:rPr>
            <w:rStyle w:val="Lienhypertexte"/>
          </w:rPr>
          <w:t xml:space="preserve">Figure 9</w:t>
        </w:r>
      </w:hyperlink>
      <w:r>
        <w:t xml:space="preserve">) visualize how specific taxa benefit from rhizosphere exploitation.</w:t>
      </w:r>
    </w:p>
    <w:bookmarkEnd w:id="84"/>
    <w:bookmarkEnd w:id="85"/>
    <w:sectPr w:rsidR="00222FC8" w:rsidRPr="00190D94">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7916D5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2FC8"/>
    <w:rsid w:val="00190D94"/>
    <w:rsid w:val="00222FC8"/>
    <w:rsid w:val="00990DA5"/>
    <w:rsid w:val="00B5502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Times New Roman" w:hAnsi="Arial"/>
        <w:sz w:val="22"/>
        <w:szCs w:val="22"/>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pPr>
      <w:keepNext/>
      <w:keepLines/>
      <w:spacing w:after="120" w:before="360"/>
      <w:outlineLvl w:val="0"/>
    </w:pPr>
    <w:rPr>
      <w:b/>
      <w:bCs/>
      <w:color w:val="000000"/>
      <w:sz w:val="30"/>
      <w:szCs w:val="30"/>
    </w:rPr>
  </w:style>
  <w:style w:styleId="Titre2" w:type="paragraph">
    <w:name w:val="heading 2"/>
    <w:basedOn w:val="Normal"/>
    <w:next w:val="Corpsdetexte"/>
    <w:uiPriority w:val="9"/>
    <w:unhideWhenUsed/>
    <w:qFormat/>
    <w:pPr>
      <w:keepNext/>
      <w:keepLines/>
      <w:spacing w:after="80" w:before="240"/>
      <w:outlineLvl w:val="1"/>
    </w:pPr>
    <w:rPr>
      <w:b/>
      <w:bCs/>
      <w:color w:val="000000"/>
      <w:sz w:val="26"/>
      <w:szCs w:val="26"/>
    </w:rPr>
  </w:style>
  <w:style w:styleId="Titre3" w:type="paragraph">
    <w:name w:val="heading 3"/>
    <w:basedOn w:val="Normal"/>
    <w:next w:val="Corpsdetexte"/>
    <w:uiPriority w:val="9"/>
    <w:unhideWhenUsed/>
    <w:qFormat/>
    <w:pPr>
      <w:keepNext/>
      <w:keepLines/>
      <w:spacing w:after="0" w:before="200"/>
      <w:outlineLvl w:val="2"/>
    </w:pPr>
    <w:rPr>
      <w:b/>
      <w:bCs/>
      <w:color w:val="000000"/>
      <w:sz w:val="24"/>
      <w:szCs w:val="24"/>
    </w:rPr>
  </w:style>
  <w:style w:styleId="Titre4" w:type="paragraph">
    <w:name w:val="heading 4"/>
    <w:basedOn w:val="Normal"/>
    <w:next w:val="Corpsdetexte"/>
    <w:uiPriority w:val="9"/>
    <w:unhideWhenUsed/>
    <w:qFormat/>
    <w:pPr>
      <w:keepNext/>
      <w:keepLines/>
      <w:spacing w:after="0" w:before="200"/>
      <w:outlineLvl w:val="3"/>
    </w:pPr>
    <w:rPr>
      <w:bCs/>
      <w:i/>
      <w:color w:val="000000"/>
      <w:sz w:val="24"/>
      <w:szCs w:val="24"/>
    </w:rPr>
  </w:style>
  <w:style w:styleId="Titre5" w:type="paragraph">
    <w:name w:val="heading 5"/>
    <w:basedOn w:val="Normal"/>
    <w:next w:val="Corpsdetexte"/>
    <w:uiPriority w:val="9"/>
    <w:unhideWhenUsed/>
    <w:qFormat/>
    <w:pPr>
      <w:keepNext/>
      <w:keepLines/>
      <w:spacing w:after="0" w:before="200"/>
      <w:outlineLvl w:val="4"/>
    </w:pPr>
    <w:rPr>
      <w:iCs/>
      <w:color w:val="000000"/>
      <w:sz w:val="24"/>
      <w:szCs w:val="24"/>
    </w:rPr>
  </w:style>
  <w:style w:styleId="Titre6" w:type="paragraph">
    <w:name w:val="heading 6"/>
    <w:basedOn w:val="Normal"/>
    <w:next w:val="Corpsdetexte"/>
    <w:uiPriority w:val="9"/>
    <w:unhideWhenUsed/>
    <w:qFormat/>
    <w:pPr>
      <w:keepNext/>
      <w:keepLines/>
      <w:spacing w:after="0" w:before="200"/>
      <w:outlineLvl w:val="5"/>
    </w:pPr>
    <w:rPr>
      <w:color w:val="000000"/>
      <w:sz w:val="24"/>
      <w:szCs w:val="24"/>
    </w:rPr>
  </w:style>
  <w:style w:styleId="Titre7" w:type="paragraph">
    <w:name w:val="heading 7"/>
    <w:basedOn w:val="Normal"/>
    <w:next w:val="Corpsdetexte"/>
    <w:uiPriority w:val="9"/>
    <w:unhideWhenUsed/>
    <w:qFormat/>
    <w:pPr>
      <w:keepNext/>
      <w:keepLines/>
      <w:spacing w:after="0" w:before="200"/>
      <w:outlineLvl w:val="6"/>
    </w:pPr>
    <w:rPr>
      <w:color w:val="000000"/>
      <w:sz w:val="24"/>
      <w:szCs w:val="24"/>
    </w:rPr>
  </w:style>
  <w:style w:styleId="Titre8" w:type="paragraph">
    <w:name w:val="heading 8"/>
    <w:basedOn w:val="Normal"/>
    <w:next w:val="Corpsdetexte"/>
    <w:uiPriority w:val="9"/>
    <w:unhideWhenUsed/>
    <w:qFormat/>
    <w:pPr>
      <w:keepNext/>
      <w:keepLines/>
      <w:spacing w:after="0" w:before="200"/>
      <w:outlineLvl w:val="7"/>
    </w:pPr>
    <w:rPr>
      <w:color w:val="000000"/>
      <w:sz w:val="24"/>
      <w:szCs w:val="24"/>
    </w:rPr>
  </w:style>
  <w:style w:styleId="Titre9" w:type="paragraph">
    <w:name w:val="heading 9"/>
    <w:basedOn w:val="Normal"/>
    <w:next w:val="Corpsdetexte"/>
    <w:uiPriority w:val="9"/>
    <w:unhideWhenUsed/>
    <w:qFormat/>
    <w:pPr>
      <w:keepNext/>
      <w:keepLines/>
      <w:spacing w:after="0" w:before="200"/>
      <w:outlineLvl w:val="8"/>
    </w:pPr>
    <w:rPr>
      <w:color w:val="000000"/>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pPr>
      <w:keepNext/>
      <w:keepLines/>
      <w:spacing w:after="120" w:before="480"/>
    </w:pPr>
    <w:rPr>
      <w:b/>
      <w:bCs/>
      <w:color w:val="000000"/>
      <w:sz w:val="40"/>
      <w:szCs w:val="40"/>
    </w:rPr>
  </w:style>
  <w:style w:styleId="Sous-titre" w:type="paragraph">
    <w:name w:val="Subtitle"/>
    <w:basedOn w:val="Titre"/>
    <w:next w:val="Corpsdetexte"/>
    <w:qFormat/>
    <w:pPr>
      <w:spacing w:after="240" w:before="240"/>
      <w:jc w:val="center"/>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val="000000"/>
    </w:rPr>
  </w:style>
  <w:style w:styleId="En-ttedetabledesmatires" w:type="paragraph">
    <w:name w:val="TOC Heading"/>
    <w:basedOn w:val="Titre1"/>
    <w:next w:val="Corpsdetexte"/>
    <w:uiPriority w:val="39"/>
    <w:unhideWhenUsed/>
    <w:qFormat/>
    <w:pPr>
      <w:spacing w:before="240" w:line="259" w:lineRule="auto"/>
      <w:outlineLvl w:val="9"/>
    </w:pPr>
    <w:rPr>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22" Target="media/rId22.png" /><Relationship Type="http://schemas.openxmlformats.org/officeDocument/2006/relationships/image" Id="rId60" Target="media/rId60.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S3 : Sensitivity analysis</dc:title>
  <dc:creator/>
  <cp:keywords/>
  <dcterms:created xsi:type="dcterms:W3CDTF">2026-06-09T08:34:46Z</dcterms:created>
  <dcterms:modified xsi:type="dcterms:W3CDTF">2026-06-09T08:34:46Z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