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SEM</w:t>
      </w:r>
      <w:r>
        <w:t xml:space="preserve"> </w:t>
      </w:r>
      <w:r>
        <w:t xml:space="preserve">database</w:t>
      </w:r>
      <w:r>
        <w:t xml:space="preserve"> </w:t>
      </w:r>
      <w:r>
        <w:t xml:space="preserve">assembly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usr/lib/rstudio-server/bin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rpsdetexte"/>
            </w:pPr>
            <w:pPr>
              <w:spacing w:before="16" w:after="64"/>
            </w:pPr>
            <w:r>
              <w:rPr>
                <w:b/>
                <w:bCs/>
              </w:rPr>
              <w:t xml:space="preserve">Purpose of this document</w:t>
            </w:r>
          </w:p>
          <w:p>
            <w:pPr>
              <w:pStyle w:val="Corpsdetexte"/>
            </w:pPr>
            <w:pPr>
              <w:spacing w:before="16"/>
            </w:pPr>
            <w:r>
              <w:t xml:space="preserve">This script is the</w:t>
            </w:r>
            <w:r>
              <w:t xml:space="preserve"> </w:t>
            </w:r>
            <w:r>
              <w:rPr>
                <w:b/>
                <w:bCs/>
              </w:rPr>
              <w:t xml:space="preserve">first step</w:t>
            </w:r>
            <w:r>
              <w:t xml:space="preserve"> </w:t>
            </w:r>
            <w:r>
              <w:t xml:space="preserve">of the SEM pipeline. It assembles all input variables from raw sensor and image data into a single analysis-ready database. Its outputs feed directly into: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rStyle w:val="VerbatimChar"/>
              </w:rPr>
              <w:t xml:space="preserve">2_SEM_diagnostic.qmd</w:t>
            </w:r>
            <w:r>
              <w:t xml:space="preserve"> </w:t>
            </w:r>
            <w:r>
              <w:t xml:space="preserve">— sensitivity analysis to select the optimal model configuration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rStyle w:val="VerbatimChar"/>
              </w:rPr>
              <w:t xml:space="preserve">3_SEM_modelisation.qmd</w:t>
            </w:r>
            <w:r>
              <w:t xml:space="preserve"> </w:t>
            </w:r>
            <w:r>
              <w:t xml:space="preserve">— full rolling-window SEM execution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rStyle w:val="VerbatimChar"/>
              </w:rPr>
              <w:t xml:space="preserve">4_SEM_results_analysis.qmd</w:t>
            </w:r>
            <w:r>
              <w:t xml:space="preserve"> </w:t>
            </w:r>
            <w:r>
              <w:t xml:space="preserve">— figure production and ecological interpretation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Output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Description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Main SEM database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SEM_database.csv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One row per scanner × time step, with fauna counts, environmental variables, root metrics, and season labels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Taxa list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fauna_vars.txt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Names of invertebrate taxa retained for modelling (≥ 5% of total observations)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Microclimate indices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microclimate_index.txt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The two most informative and orthogonal microclimatic summary variables, selected by PCA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Pipeline 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pipeline_config.json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Time step, step_hours, steps_per_day</w:t>
                  </w:r>
                </w:p>
              </w:tc>
            </w:tr>
          </w:tbl>
        </w:tc>
      </w:tr>
    </w:tbl>
    <w:p>
      <w:r>
        <w:pict>
          <v:rect style="width:0;height:1.5pt" o:hralign="center" o:hrstd="t" o:hr="t"/>
        </w:pict>
      </w:r>
    </w:p>
    <w:bookmarkStart w:id="23" w:name="data-sources-and-processing-steps"/>
    <w:p>
      <w:pPr>
        <w:pStyle w:val="Titre1"/>
      </w:pPr>
      <w:r>
        <w:t xml:space="preserve">Data sources and processing steps</w:t>
      </w:r>
    </w:p>
    <w:p>
      <w:pPr>
        <w:pStyle w:val="FirstParagraph"/>
      </w:pPr>
      <w:r>
        <w:t xml:space="preserve">Five data streams are integrated: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Fauna detections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In-situ scanner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to canonical scan times; recode fine taxa to higher levels; fill unobserved combinations with 0 (absent) vs. NA (missing 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Soil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DIAMS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by date × depth ×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Microclimatic indices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five rolling-window indices per variable; select the two most orthogonal via PCA (cos² ≥ 0.8)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Root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pixel count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9-day and 24-hour growth metrics using backward rolling joins (</w:t>
            </w:r>
            <w:r>
              <w:rPr>
                <w:rStyle w:val="VerbatimChar"/>
              </w:rPr>
              <w:t xml:space="preserve">data.table</w:t>
            </w:r>
            <w:r>
              <w:t xml:space="preserve">); convert pixel counts to cm²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Seasons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calendar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Equinox/solstice boundaries, 2023–2025</w:t>
            </w:r>
          </w:p>
        </w:tc>
      </w:tr>
    </w:tbl>
    <w:p>
      <w:pPr>
        <w:pStyle w:val="Corpsdetexte"/>
      </w:pPr>
      <w:r>
        <w:rPr>
          <w:b/>
          <w:bCs/>
        </w:rPr>
        <w:t xml:space="preserve">Key design choices</w:t>
      </w:r>
    </w:p>
    <w:p>
      <w:pPr>
        <w:pStyle w:val="Corpsdetexte"/>
      </w:pPr>
      <w:r>
        <w:rPr>
          <w:i/>
          <w:iCs/>
        </w:rPr>
        <w:t xml:space="preserve">Taxonomic lumping</w:t>
      </w:r>
      <w:r>
        <w:t xml:space="preserve"> </w:t>
      </w:r>
      <w:r>
        <w:t xml:space="preserve">— Fine-level taxa (e.g. </w:t>
      </w:r>
      <w:r>
        <w:rPr>
          <w:i/>
          <w:iCs/>
        </w:rPr>
        <w:t xml:space="preserve">julida</w:t>
      </w:r>
      <w:r>
        <w:t xml:space="preserve">,</w:t>
      </w:r>
      <w:r>
        <w:t xml:space="preserve"> </w:t>
      </w:r>
      <w:r>
        <w:rPr>
          <w:i/>
          <w:iCs/>
        </w:rPr>
        <w:t xml:space="preserve">polydesmida</w:t>
      </w:r>
      <w:r>
        <w:t xml:space="preserve">) are promoted to their parent group (e.g. </w:t>
      </w:r>
      <w:r>
        <w:rPr>
          <w:i/>
          <w:iCs/>
        </w:rPr>
        <w:t xml:space="preserve">diplopoda</w:t>
      </w:r>
      <w:r>
        <w:t xml:space="preserve">) when too rare to model independently. The mapping is explicit in the code.</w:t>
      </w:r>
    </w:p>
    <w:p>
      <w:pPr>
        <w:pStyle w:val="Corpsdetexte"/>
      </w:pPr>
      <w:r>
        <w:rPr>
          <w:i/>
          <w:iCs/>
        </w:rPr>
        <w:t xml:space="preserve">Missing data encoding</w:t>
      </w:r>
      <w:r>
        <w:t xml:space="preserve"> </w:t>
      </w:r>
      <w:r>
        <w:t xml:space="preserve">— The distinction between 0 (taxon absent, scanner active) and NA (scanner produced no image) is preserved throughout the pipeline. Downstream scripts filter windows by data completeness rate rather than imputing.</w:t>
      </w:r>
    </w:p>
    <w:p>
      <w:pPr>
        <w:pStyle w:val="Corpsdetexte"/>
      </w:pPr>
      <w:r>
        <w:rPr>
          <w:i/>
          <w:iCs/>
        </w:rPr>
        <w:t xml:space="preserve">Microclimate dimensionality reduction</w:t>
      </w:r>
      <w:r>
        <w:t xml:space="preserve"> </w:t>
      </w:r>
      <w:r>
        <w:t xml:space="preserve">— Five indices summarise each variable over a rolling window (following Grooss et al., 2026). PCA then selects the two indices that are both well-represented on the first two PCA axes (cos² ≥ 0.8) and maximally orthogonal, minimising collinearity in the SEM.</w:t>
      </w:r>
    </w:p>
    <w:p>
      <w:r>
        <w:pict>
          <v:rect style="width:0;height:1.5pt" o:hralign="center" o:hrstd="t" o:hr="t"/>
        </w:pict>
      </w:r>
    </w:p>
    <w:bookmarkEnd w:id="23"/>
    <w:bookmarkStart w:id="24" w:name="environment-setup"/>
    <w:p>
      <w:pPr>
        <w:pStyle w:val="Titre1"/>
      </w:pPr>
      <w:r>
        <w:t xml:space="preserve">Environment setup</w:t>
      </w:r>
    </w:p>
    <w:p>
      <w:r>
        <w:pict>
          <v:rect style="width:0;height:1.5pt" o:hralign="center" o:hrstd="t" o:hr="t"/>
        </w:pict>
      </w:r>
    </w:p>
    <w:bookmarkEnd w:id="24"/>
    <w:bookmarkStart w:id="25" w:name="pipeline-configuration"/>
    <w:p>
      <w:pPr>
        <w:pStyle w:val="Titre1"/>
      </w:pPr>
      <w:r>
        <w:t xml:space="preserve">Pipeline configuration</w:t>
      </w:r>
    </w:p>
    <w:p>
      <w:r>
        <w:pict>
          <v:rect style="width:0;height:1.5pt" o:hralign="center" o:hrstd="t" o:hr="t"/>
        </w:pict>
      </w:r>
    </w:p>
    <w:bookmarkEnd w:id="25"/>
    <w:bookmarkStart w:id="37" w:name="fauna-data"/>
    <w:p>
      <w:pPr>
        <w:pStyle w:val="Titre1"/>
      </w:pPr>
      <w:r>
        <w:t xml:space="preserve">Fauna data</w:t>
      </w:r>
    </w:p>
    <w:bookmarkStart w:id="26" w:name="loading-and-cleaning-raw-detections"/>
    <w:p>
      <w:pPr>
        <w:pStyle w:val="Titre2"/>
      </w:pPr>
      <w:r>
        <w:t xml:space="preserve">Loading and cleaning raw detections</w:t>
      </w:r>
    </w:p>
    <w:p>
      <w:pPr>
        <w:pStyle w:val="FirstParagraph"/>
      </w:pPr>
      <w:r>
        <w:t xml:space="preserve">Images are acquired every 6 hours (00:00, 06:00, 12:00, 18:00). Scanner IDs encode positional metadata: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Character 4</w:t>
      </w:r>
      <w:r>
        <w:t xml:space="preserve"> </w:t>
      </w:r>
      <w:r>
        <w:t xml:space="preserve">→ position (A, B, C): tree cover / intermediate / cultivated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Characters 5–6</w:t>
      </w:r>
      <w:r>
        <w:t xml:space="preserve"> </w:t>
      </w:r>
      <w:r>
        <w:t xml:space="preserve">→ depth (20 or 50 cm)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Character 8</w:t>
      </w:r>
      <w:r>
        <w:t xml:space="preserve"> </w:t>
      </w:r>
      <w:r>
        <w:t xml:space="preserve">→ orientation (O: West, E: East)</w:t>
      </w:r>
    </w:p>
    <w:bookmarkEnd w:id="26"/>
    <w:bookmarkStart w:id="27" w:name="X4476f0b55a6bcec61878289f53647008d4fa157"/>
    <w:p>
      <w:pPr>
        <w:pStyle w:val="Titre2"/>
      </w:pPr>
      <w:r>
        <w:t xml:space="preserve">Build invertebrate taxa list from taxonomic hierarchy</w:t>
      </w:r>
    </w:p>
    <w:p>
      <w:pPr>
        <w:pStyle w:val="FirstParagraph"/>
      </w:pPr>
      <w:r>
        <w:t xml:space="preserve">Reads the hierarchical taxonomy JSON, extracts terminal (leaf) taxa under the</w:t>
      </w:r>
      <w:r>
        <w:t xml:space="preserve"> </w:t>
      </w:r>
      <w:r>
        <w:t xml:space="preserve">“</w:t>
      </w:r>
      <w:r>
        <w:t xml:space="preserve">fauna</w:t>
      </w:r>
      <w:r>
        <w:t xml:space="preserve">”</w:t>
      </w:r>
      <w:r>
        <w:t xml:space="preserve"> </w:t>
      </w:r>
      <w:r>
        <w:t xml:space="preserve">node, applies taxonomic lumping for small or structurally similar groups, and retains only taxa that represent ≥ 5% of total observations.</w:t>
      </w:r>
    </w:p>
    <w:bookmarkEnd w:id="27"/>
    <w:bookmarkStart w:id="28" w:name="X9b05762191e26efb072322036efffb4fde275da"/>
    <w:p>
      <w:pPr>
        <w:pStyle w:val="Titre2"/>
      </w:pPr>
      <w:r>
        <w:t xml:space="preserve">Function: filter taxa by minimum occurrence count</w:t>
      </w:r>
    </w:p>
    <w:p>
      <w:pPr>
        <w:pStyle w:val="FirstParagraph"/>
      </w:pPr>
      <w:r>
        <w:t xml:space="preserve">Recodes specific taxa to a higher taxonomic level and, optionally, drops taxa below a given occurrence threshold. Set</w:t>
      </w:r>
      <w:r>
        <w:t xml:space="preserve"> </w:t>
      </w:r>
      <w:r>
        <w:rPr>
          <w:rStyle w:val="VerbatimChar"/>
        </w:rPr>
        <w:t xml:space="preserve">filter_taxa = FALSE</w:t>
      </w:r>
      <w:r>
        <w:t xml:space="preserve"> </w:t>
      </w:r>
      <w:r>
        <w:t xml:space="preserve">to keep all taxa.</w:t>
      </w:r>
    </w:p>
    <w:bookmarkEnd w:id="28"/>
    <w:bookmarkStart w:id="29" w:name="build-the-complete-abundance-matrix"/>
    <w:p>
      <w:pPr>
        <w:pStyle w:val="Titre2"/>
      </w:pPr>
      <w:r>
        <w:t xml:space="preserve">Build the complete abundance matrix</w:t>
      </w:r>
    </w:p>
    <w:p>
      <w:pPr>
        <w:pStyle w:val="FirstParagraph"/>
      </w:pPr>
      <w:r>
        <w:t xml:space="preserve">Creates a full time × scanner grid, counts detections per taxon per image, and fills unobserved taxon–date–scanner combinations with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(taxon absent). Images with no scan at all remain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(data missing).</w:t>
      </w:r>
    </w:p>
    <w:bookmarkEnd w:id="29"/>
    <w:bookmarkStart w:id="34" w:name="X09ebbb3f8d1c61a41ce30ab2ad6e1c0ba457e1a"/>
    <w:p>
      <w:pPr>
        <w:pStyle w:val="Titre2"/>
      </w:pPr>
      <w:r>
        <w:t xml:space="preserve">Figure 1 — Missing data by scanner and month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s1-missing"/>
          <w:p>
            <w:pPr>
              <w:pStyle w:val="Compact"/>
              <w:jc w:val="center"/>
            </w:pPr>
            <w:r>
              <w:drawing>
                <wp:inline>
                  <wp:extent cx="5504749" cy="458729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1.database_edition_docx_version_files/figure-docx/fig-s1-missing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4749" cy="4587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r>
              <w:rPr>
                <w:b/>
                <w:bCs/>
              </w:rPr>
              <w:t xml:space="preserve">Proportion of missing vs. acquired images per scanner and month.</w:t>
            </w:r>
            <w:r>
              <w:t xml:space="preserve"> </w:t>
            </w:r>
            <w:r>
              <w:t xml:space="preserve">Each bar stack sums to 1. Orange = image acquired; grey = missing (scanner downtime or quality-control filter). Facets are arranged by scanner identity (rows) and calendar year (columns).</w:t>
            </w:r>
          </w:p>
          <w:bookmarkEnd w:id="33"/>
        </w:tc>
      </w:tr>
    </w:tbl>
    <w:bookmarkEnd w:id="34"/>
    <w:bookmarkStart w:id="35" w:name="land-use-grouping-and-sem-base-table"/>
    <w:p>
      <w:pPr>
        <w:pStyle w:val="Titre2"/>
      </w:pPr>
      <w:r>
        <w:t xml:space="preserve">Land-use grouping and SEM base table</w:t>
      </w:r>
    </w:p>
    <w:p>
      <w:pPr>
        <w:pStyle w:val="FirstParagraph"/>
      </w:pPr>
      <w:r>
        <w:t xml:space="preserve">Two land-use categories are compared: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cover + herbaceous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Cultivated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>
      <w:pPr>
        <w:pStyle w:val="Corpsdetexte"/>
      </w:pPr>
      <w:r>
        <w:t xml:space="preserve">Position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(intermediate strip) is excluded from the analysis.</w:t>
      </w:r>
    </w:p>
    <w:bookmarkEnd w:id="35"/>
    <w:bookmarkStart w:id="36" w:name="X744db9bce2604a4d2d7c2a470a03fa6bc4f53df"/>
    <w:p>
      <w:pPr>
        <w:pStyle w:val="Titre2"/>
      </w:pPr>
      <w:r>
        <w:t xml:space="preserve">Function: filter dates with insufficient scanner coverage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nvironmental-data"/>
    <w:p>
      <w:pPr>
        <w:pStyle w:val="Titre1"/>
      </w:pPr>
      <w:r>
        <w:t xml:space="preserve">Environmental data</w:t>
      </w:r>
    </w:p>
    <w:p>
      <w:r>
        <w:pict>
          <v:rect style="width:0;height:1.5pt" o:hralign="center" o:hrstd="t" o:hr="t"/>
        </w:pict>
      </w:r>
    </w:p>
    <w:bookmarkEnd w:id="38"/>
    <w:bookmarkStart w:id="42" w:name="microclimatic-indices"/>
    <w:p>
      <w:pPr>
        <w:pStyle w:val="Titre1"/>
      </w:pPr>
      <w:r>
        <w:t xml:space="preserve">Microclimatic indices</w:t>
      </w:r>
    </w:p>
    <w:bookmarkStart w:id="39" w:name="index-parameters"/>
    <w:p>
      <w:pPr>
        <w:pStyle w:val="Titre2"/>
      </w:pPr>
      <w:r>
        <w:t xml:space="preserve">Index parameters</w:t>
      </w:r>
    </w:p>
    <w:bookmarkEnd w:id="39"/>
    <w:bookmarkStart w:id="40" w:name="compute-rolling-microclimatic-indices"/>
    <w:p>
      <w:pPr>
        <w:pStyle w:val="Titre2"/>
      </w:pPr>
      <w:r>
        <w:t xml:space="preserve">Compute rolling microclimatic indices</w:t>
      </w:r>
    </w:p>
    <w:p>
      <w:pPr>
        <w:pStyle w:val="FirstParagraph"/>
      </w:pPr>
      <w:r>
        <w:t xml:space="preserve">Following Grooss et al. (2026), five indices summarise each environmental variable over the rolling window: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tendency, robust to extremes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amplitude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5th–95th percentile range (within-window variability)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successive differences (instantaneous variability)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97.5th percentile (warm/wet extreme)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2.5th percentile (cold/dry extreme)</w:t>
            </w:r>
          </w:p>
        </w:tc>
      </w:tr>
    </w:tbl>
    <w:bookmarkEnd w:id="40"/>
    <w:bookmarkStart w:id="41" w:name="X036adf39b99c84dccc6b82cdbfcb499096ca062"/>
    <w:p>
      <w:pPr>
        <w:pStyle w:val="Titre2"/>
      </w:pPr>
      <w:r>
        <w:t xml:space="preserve">Select the two most informative, orthogonal indices via PCA</w:t>
      </w:r>
    </w:p>
    <w:p>
      <w:pPr>
        <w:pStyle w:val="FirstParagraph"/>
      </w:pPr>
      <w:r>
        <w:t xml:space="preserve">A PCA is performed on all computed indices. The two well-represented variables (cos² ≥ 0.8) with the smallest mutual cosine (most orthogonal in PCA space) are retained for the SEM.</w:t>
      </w:r>
    </w:p>
    <w:p>
      <w:pPr>
        <w:pStyle w:val="SourceCode"/>
      </w:pPr>
      <w:r>
        <w:rPr>
          <w:rStyle w:val="VerbatimChar"/>
        </w:rPr>
        <w:t xml:space="preserve">Microclimate indices selected: temp_soil_max and hum_soil_max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root-density-data"/>
    <w:p>
      <w:pPr>
        <w:pStyle w:val="Titre1"/>
      </w:pPr>
      <w:r>
        <w:t xml:space="preserve">Root density data</w:t>
      </w:r>
    </w:p>
    <w:p>
      <w:pPr>
        <w:pStyle w:val="FirstParagraph"/>
      </w:pPr>
      <w:r>
        <w:t xml:space="preserve">Root growth is computed by comparing pixel counts between two time points using high-performance rolling joins (</w:t>
      </w:r>
      <w:r>
        <w:rPr>
          <w:rStyle w:val="VerbatimChar"/>
        </w:rPr>
        <w:t xml:space="preserve">data.table</w:t>
      </w:r>
      <w:r>
        <w:t xml:space="preserve">). Two temporal lags are calculated: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9-day lag</w:t>
      </w:r>
      <w:r>
        <w:t xml:space="preserve"> </w:t>
      </w:r>
      <w:r>
        <w:t xml:space="preserve">(tolerance: ± 2 days) — captures medium-term root expansion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1-day lag</w:t>
      </w:r>
      <w:r>
        <w:t xml:space="preserve"> </w:t>
      </w:r>
      <w:r>
        <w:t xml:space="preserve">(tolerance: ± 12 hours) — captures short-term root growth</w:t>
      </w:r>
    </w:p>
    <w:bookmarkStart w:id="43" w:name="constants"/>
    <w:p>
      <w:pPr>
        <w:pStyle w:val="Titre2"/>
      </w:pPr>
      <w:r>
        <w:t xml:space="preserve">Constants</w:t>
      </w:r>
    </w:p>
    <w:bookmarkEnd w:id="43"/>
    <w:bookmarkStart w:id="44" w:name="load-and-parse-root-pixel-counts"/>
    <w:p>
      <w:pPr>
        <w:pStyle w:val="Titre2"/>
      </w:pPr>
      <w:r>
        <w:t xml:space="preserve">Load and parse root pixel counts</w:t>
      </w:r>
    </w:p>
    <w:bookmarkEnd w:id="44"/>
    <w:bookmarkStart w:id="45" w:name="Xb1b8b5b0a5346f6ec79a5d988ef7c5057371e42"/>
    <w:p>
      <w:pPr>
        <w:pStyle w:val="Titre2"/>
      </w:pPr>
      <w:r>
        <w:t xml:space="preserve">Rolling joins to retrieve lagged pixel counts</w:t>
      </w:r>
    </w:p>
    <w:bookmarkEnd w:id="45"/>
    <w:bookmarkStart w:id="46" w:name="compute-root-area-metrics"/>
    <w:p>
      <w:pPr>
        <w:pStyle w:val="Titre2"/>
      </w:pPr>
      <w:r>
        <w:t xml:space="preserve">Compute root area metrics</w:t>
      </w:r>
    </w:p>
    <w:bookmarkEnd w:id="46"/>
    <w:bookmarkStart w:id="47" w:name="Xd05784739c14eeaf33d4772db109e2b9b6b61f2"/>
    <w:p>
      <w:pPr>
        <w:pStyle w:val="Titre2"/>
      </w:pPr>
      <w:r>
        <w:t xml:space="preserve">Merge root metrics into the SEM dataframe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ason-variable"/>
    <w:p>
      <w:pPr>
        <w:pStyle w:val="Titre1"/>
      </w:pPr>
      <w:r>
        <w:t xml:space="preserve">Season variable</w:t>
      </w:r>
    </w:p>
    <w:p>
      <w:pPr>
        <w:pStyle w:val="FirstParagraph"/>
      </w:pPr>
      <w:r>
        <w:t xml:space="preserve">Seasons are defined by astronomical boundaries (equinoxes and solstices), covering 2023–2025.</w:t>
      </w:r>
    </w:p>
    <w:p>
      <w:r>
        <w:pict>
          <v:rect style="width:0;height:1.5pt" o:hralign="center" o:hrstd="t" o:hr="t"/>
        </w:pict>
      </w:r>
    </w:p>
    <w:bookmarkEnd w:id="49"/>
    <w:bookmarkStart w:id="50" w:name="data-summary"/>
    <w:p>
      <w:pPr>
        <w:pStyle w:val="Titre1"/>
      </w:pPr>
      <w:r>
        <w:t xml:space="preserve">Data summary</w:t>
      </w:r>
    </w:p>
    <w:p>
      <w:pPr>
        <w:pStyle w:val="SourceCode"/>
      </w:pPr>
      <w:r>
        <w:rPr>
          <w:rStyle w:val="VerbatimChar"/>
        </w:rPr>
        <w:t xml:space="preserve">Period          : 2024-04-01 → 2025-11-17 (595 days)</w:t>
      </w:r>
    </w:p>
    <w:p>
      <w:pPr>
        <w:pStyle w:val="SourceCode"/>
      </w:pPr>
      <w:r>
        <w:rPr>
          <w:rStyle w:val="VerbatimChar"/>
        </w:rPr>
        <w:t xml:space="preserve">Images (total)  : 18,634</w:t>
      </w:r>
    </w:p>
    <w:p>
      <w:pPr>
        <w:pStyle w:val="SourceCode"/>
      </w:pPr>
      <w:r>
        <w:rPr>
          <w:rStyle w:val="VerbatimChar"/>
        </w:rPr>
        <w:t xml:space="preserve">Occ. raw        : 128,155</w:t>
      </w:r>
    </w:p>
    <w:p>
      <w:pPr>
        <w:pStyle w:val="SourceCode"/>
      </w:pPr>
      <w:r>
        <w:rPr>
          <w:rStyle w:val="VerbatimChar"/>
        </w:rPr>
        <w:t xml:space="preserve">Occ. filtered   : 121,378</w:t>
      </w:r>
    </w:p>
    <w:p>
      <w:pPr>
        <w:pStyle w:val="SourceCode"/>
      </w:pPr>
      <w:r>
        <w:rPr>
          <w:rStyle w:val="VerbatimChar"/>
        </w:rPr>
        <w:t xml:space="preserve">Taxa retained   : 6  [acari, collembola, diplopoda, enchytraeidae, gastropoda, symphyla]</w:t>
      </w:r>
    </w:p>
    <w:p>
      <w:pPr>
        <w:pStyle w:val="SourceCode"/>
      </w:pPr>
      <w:r>
        <w:rPr>
          <w:rStyle w:val="VerbatimChar"/>
        </w:rPr>
        <w:t xml:space="preserve">Scanners        : 12  (A=4 treed, C=4 cultivated)</w:t>
      </w:r>
    </w:p>
    <w:p>
      <w:pPr>
        <w:pStyle w:val="SourceCode"/>
      </w:pPr>
      <w:r>
        <w:rPr>
          <w:rStyle w:val="VerbatimChar"/>
        </w:rPr>
        <w:t xml:space="preserve">SEM grid rows   : 4,788</w:t>
      </w:r>
    </w:p>
    <w:p>
      <w:pPr>
        <w:pStyle w:val="SourceCode"/>
      </w:pPr>
      <w:r>
        <w:rPr>
          <w:rStyle w:val="VerbatimChar"/>
        </w:rPr>
        <w:t xml:space="preserve">Missing images  : 1,122 / 4,788  (23.4%)</w:t>
      </w:r>
    </w:p>
    <w:p>
      <w:pPr>
        <w:pStyle w:val="SourceCode"/>
      </w:pPr>
      <w:r>
        <w:br/>
      </w:r>
      <w:r>
        <w:rPr>
          <w:rStyle w:val="VerbatimChar"/>
        </w:rPr>
        <w:t xml:space="preserve">Missing rate per scanner:</w:t>
      </w:r>
    </w:p>
    <w:p>
      <w:pPr>
        <w:pStyle w:val="SourceCode"/>
      </w:pPr>
      <w:r>
        <w:rPr>
          <w:rStyle w:val="VerbatimChar"/>
        </w:rPr>
        <w:t xml:space="preserve">  scanner position n_total n_missing pct_miss</w:t>
      </w:r>
      <w:r>
        <w:br/>
      </w:r>
      <w:r>
        <w:rPr>
          <w:rStyle w:val="VerbatimChar"/>
        </w:rPr>
        <w:t xml:space="preserve"> AF_A20_E        A     596       180     30.2</w:t>
      </w:r>
      <w:r>
        <w:br/>
      </w:r>
      <w:r>
        <w:rPr>
          <w:rStyle w:val="VerbatimChar"/>
        </w:rPr>
        <w:t xml:space="preserve"> AF_A20_O        A     596       247     41.4</w:t>
      </w:r>
      <w:r>
        <w:br/>
      </w:r>
      <w:r>
        <w:rPr>
          <w:rStyle w:val="VerbatimChar"/>
        </w:rPr>
        <w:t xml:space="preserve"> AF_A50_E        A     616       106     17.2</w:t>
      </w:r>
      <w:r>
        <w:br/>
      </w:r>
      <w:r>
        <w:rPr>
          <w:rStyle w:val="VerbatimChar"/>
        </w:rPr>
        <w:t xml:space="preserve"> AF_A50_O        A     596       209     35.1</w:t>
      </w:r>
      <w:r>
        <w:br/>
      </w:r>
      <w:r>
        <w:rPr>
          <w:rStyle w:val="VerbatimChar"/>
        </w:rPr>
        <w:t xml:space="preserve"> AF_C20_E        C     596        56      9.4</w:t>
      </w:r>
      <w:r>
        <w:br/>
      </w:r>
      <w:r>
        <w:rPr>
          <w:rStyle w:val="VerbatimChar"/>
        </w:rPr>
        <w:t xml:space="preserve"> AF_C20_O        C     596        97     16.3</w:t>
      </w:r>
      <w:r>
        <w:br/>
      </w:r>
      <w:r>
        <w:rPr>
          <w:rStyle w:val="VerbatimChar"/>
        </w:rPr>
        <w:t xml:space="preserve"> AF_C50_E        C     596        89     14.9</w:t>
      </w:r>
      <w:r>
        <w:br/>
      </w:r>
      <w:r>
        <w:rPr>
          <w:rStyle w:val="VerbatimChar"/>
        </w:rPr>
        <w:t xml:space="preserve"> AF_C50_O        C     596       138     23.2</w:t>
      </w:r>
    </w:p>
    <w:p>
      <w:r>
        <w:pict>
          <v:rect style="width:0;height:1.5pt" o:hralign="center" o:hrstd="t" o:hr="t"/>
        </w:pict>
      </w:r>
    </w:p>
    <w:bookmarkEnd w:id="50"/>
    <w:bookmarkStart w:id="51" w:name="export"/>
    <w:p>
      <w:pPr>
        <w:pStyle w:val="Titre1"/>
      </w:pPr>
      <w:r>
        <w:t xml:space="preserve">Export</w:t>
      </w:r>
    </w:p>
    <w:p>
      <w:pPr>
        <w:pStyle w:val="FirstParagraph"/>
      </w:pPr>
      <w:r>
        <w:t xml:space="preserve">The following files are written to</w:t>
      </w:r>
      <w:r>
        <w:t xml:space="preserve"> </w:t>
      </w:r>
      <w:r>
        <w:rPr>
          <w:rStyle w:val="VerbatimChar"/>
        </w:rPr>
        <w:t xml:space="preserve">../output/</w:t>
      </w:r>
      <w:r>
        <w:t xml:space="preserve"> </w:t>
      </w:r>
      <w:r>
        <w:t xml:space="preserve">for use by S2–S4: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SEM_database.csv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modelling database (one row per scanner × time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fauna_vars.txt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taxa names (one per 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microclimate_index.txt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microclimate index names (one per 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TIME_STEP, step_hours, steps_per_day</w:t>
            </w:r>
          </w:p>
        </w:tc>
      </w:tr>
    </w:tbl>
    <w:bookmarkEnd w:id="51"/>
    <w:sectPr w:rsidR="00222FC8" w:rsidRPr="00190D94">
      <w:pgSz w:h="15840" w:w="12240"/>
      <w:pgMar w:bottom="1417" w:footer="720" w:gutter="0" w:header="720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7916D5D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FC8"/>
    <w:rsid w:val="00190D94"/>
    <w:rsid w:val="00222FC8"/>
    <w:rsid w:val="00990DA5"/>
    <w:rsid w:val="00B5502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Arial" w:eastAsia="Times New Roman" w:hAnsi="Arial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pPr>
      <w:keepNext/>
      <w:keepLines/>
      <w:spacing w:after="120" w:before="360"/>
      <w:outlineLvl w:val="0"/>
    </w:pPr>
    <w:rPr>
      <w:b/>
      <w:bCs/>
      <w:color w:val="000000"/>
      <w:sz w:val="30"/>
      <w:szCs w:val="30"/>
    </w:rPr>
  </w:style>
  <w:style w:styleId="Titre2" w:type="paragraph">
    <w:name w:val="heading 2"/>
    <w:basedOn w:val="Normal"/>
    <w:next w:val="Corpsdetexte"/>
    <w:uiPriority w:val="9"/>
    <w:unhideWhenUsed/>
    <w:qFormat/>
    <w:pPr>
      <w:keepNext/>
      <w:keepLines/>
      <w:spacing w:after="80" w:before="240"/>
      <w:outlineLvl w:val="1"/>
    </w:pPr>
    <w:rPr>
      <w:b/>
      <w:bCs/>
      <w:color w:val="000000"/>
      <w:sz w:val="26"/>
      <w:szCs w:val="26"/>
    </w:rPr>
  </w:style>
  <w:style w:styleId="Titre3" w:type="paragraph">
    <w:name w:val="heading 3"/>
    <w:basedOn w:val="Normal"/>
    <w:next w:val="Corpsdetexte"/>
    <w:uiPriority w:val="9"/>
    <w:unhideWhenUsed/>
    <w:qFormat/>
    <w:pPr>
      <w:keepNext/>
      <w:keepLines/>
      <w:spacing w:after="0" w:before="200"/>
      <w:outlineLvl w:val="2"/>
    </w:pPr>
    <w:rPr>
      <w:b/>
      <w:bCs/>
      <w:color w:val="000000"/>
      <w:sz w:val="24"/>
      <w:szCs w:val="24"/>
    </w:rPr>
  </w:style>
  <w:style w:styleId="Titre4" w:type="paragraph">
    <w:name w:val="heading 4"/>
    <w:basedOn w:val="Normal"/>
    <w:next w:val="Corpsdetexte"/>
    <w:uiPriority w:val="9"/>
    <w:unhideWhenUsed/>
    <w:qFormat/>
    <w:pPr>
      <w:keepNext/>
      <w:keepLines/>
      <w:spacing w:after="0" w:before="200"/>
      <w:outlineLvl w:val="3"/>
    </w:pPr>
    <w:rPr>
      <w:bCs/>
      <w:i/>
      <w:color w:val="000000"/>
      <w:sz w:val="24"/>
      <w:szCs w:val="24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iCs/>
      <w:color w:val="000000"/>
      <w:sz w:val="24"/>
      <w:szCs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color w:val="000000"/>
      <w:sz w:val="24"/>
      <w:szCs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color w:val="000000"/>
      <w:sz w:val="24"/>
      <w:szCs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color w:val="000000"/>
      <w:sz w:val="24"/>
      <w:szCs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color w:val="000000"/>
      <w:sz w:val="24"/>
      <w:szCs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pPr>
      <w:keepNext/>
      <w:keepLines/>
      <w:spacing w:after="120" w:before="480"/>
    </w:pPr>
    <w:rPr>
      <w:b/>
      <w:bCs/>
      <w:color w:val="000000"/>
      <w:sz w:val="40"/>
      <w:szCs w:val="40"/>
    </w:rPr>
  </w:style>
  <w:style w:styleId="Sous-titre" w:type="paragraph">
    <w:name w:val="Subtitle"/>
    <w:basedOn w:val="Titre"/>
    <w:next w:val="Corpsdetexte"/>
    <w:qFormat/>
    <w:pPr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000000"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val="0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 database assembly</dc:title>
  <dc:creator/>
  <cp:keywords/>
  <dcterms:created xsi:type="dcterms:W3CDTF">2026-06-08T22:36:05Z</dcterms:created>
  <dcterms:modified xsi:type="dcterms:W3CDTF">2026-06-08T22:36:05Z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