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9.png" ContentType="image/png"/>
  <Override PartName="/word/media/rId63.png" ContentType="image/png"/>
  <Override PartName="/word/media/rId67.png" ContentType="image/png"/>
  <Override PartName="/word/media/rId71.png" ContentType="image/png"/>
  <Override PartName="/word/media/rId49.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Pre-modelling</w:t>
      </w:r>
      <w:r>
        <w:t xml:space="preserve"> </w:t>
      </w:r>
      <w:r>
        <w:t xml:space="preserve">diagnostic</w:t>
      </w:r>
      <w:r>
        <w:t xml:space="preserve"> </w:t>
      </w:r>
      <w:r>
        <w:t xml:space="preserve">calibration</w:t>
      </w:r>
      <w:r>
        <w:t xml:space="preserve"> </w:t>
      </w:r>
      <w:r>
        <w:t xml:space="preserve">for</w:t>
      </w:r>
      <w:r>
        <w:t xml:space="preserve"> </w:t>
      </w:r>
      <w:r>
        <w:t xml:space="preserve">the</w:t>
      </w:r>
      <w:r>
        <w:t xml:space="preserve"> </w:t>
      </w:r>
      <w:r>
        <w:t xml:space="preserve">rolling-window</w:t>
      </w:r>
      <w:r>
        <w:t xml:space="preserve"> </w:t>
      </w:r>
      <w:r>
        <w:t xml:space="preserve">piecewise</w:t>
      </w:r>
      <w:r>
        <w:t xml:space="preserve"> </w:t>
      </w:r>
      <w:r>
        <w:t xml:space="preserve">SEM</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1" name="Picture"/>
                  <a:graphic>
                    <a:graphicData uri="http://schemas.openxmlformats.org/drawingml/2006/picture">
                      <pic:pic>
                        <pic:nvPicPr>
                          <pic:cNvPr descr="/usr/lib/rstudio-server/bin/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Corpsdetexte"/>
            </w:pPr>
            <w:pPr>
              <w:spacing w:before="16" w:after="64"/>
            </w:pPr>
            <w:r>
              <w:rPr>
                <w:b/>
                <w:bCs/>
              </w:rPr>
              <w:t xml:space="preserve">Purpose of this document</w:t>
            </w:r>
          </w:p>
          <w:p>
            <w:pPr>
              <w:pStyle w:val="Corpsdetexte"/>
            </w:pPr>
            <w:pPr>
              <w:spacing w:before="16"/>
            </w:pPr>
            <w:r>
              <w:t xml:space="preserve">This script is the</w:t>
            </w:r>
            <w:r>
              <w:t xml:space="preserve"> </w:t>
            </w:r>
            <w:r>
              <w:rPr>
                <w:b/>
                <w:bCs/>
              </w:rPr>
              <w:t xml:space="preserve">second step</w:t>
            </w:r>
            <w:r>
              <w:t xml:space="preserve"> </w:t>
            </w:r>
            <w:r>
              <w:t xml:space="preserve">of the SEM pipeline, following:</w:t>
            </w:r>
          </w:p>
          <w:p>
            <w:pPr>
              <w:pStyle w:val="Compact"/>
              <w:numPr>
                <w:ilvl w:val="0"/>
                <w:numId w:val="1001"/>
              </w:numPr>
            </w:pPr>
            <w:r>
              <w:rPr>
                <w:rStyle w:val="VerbatimChar"/>
              </w:rPr>
              <w:t xml:space="preserve">1_database_edition.qmd</w:t>
            </w:r>
            <w:r>
              <w:t xml:space="preserve"> </w:t>
            </w:r>
            <w:r>
              <w:t xml:space="preserve">— assembles and quality-controls the SEM database</w:t>
            </w:r>
          </w:p>
          <w:p>
            <w:pPr>
              <w:pStyle w:val="FirstParagraph"/>
            </w:pPr>
            <w:r>
              <w:t xml:space="preserve">Its outputs feed directly into:</w:t>
            </w:r>
          </w:p>
          <w:p>
            <w:pPr>
              <w:pStyle w:val="Compact"/>
              <w:numPr>
                <w:ilvl w:val="0"/>
                <w:numId w:val="1002"/>
              </w:numPr>
            </w:pPr>
            <w:r>
              <w:rPr>
                <w:rStyle w:val="VerbatimChar"/>
              </w:rPr>
              <w:t xml:space="preserve">3_SEM_modelisation.qmd</w:t>
            </w:r>
            <w:r>
              <w:t xml:space="preserve"> </w:t>
            </w:r>
            <w:r>
              <w:t xml:space="preserve">— full rolling-window piecewise SEM execution</w:t>
            </w:r>
          </w:p>
          <w:p>
            <w:pPr>
              <w:pStyle w:val="Compact"/>
              <w:numPr>
                <w:ilvl w:val="0"/>
                <w:numId w:val="1002"/>
              </w:numPr>
            </w:pPr>
            <w:r>
              <w:rPr>
                <w:rStyle w:val="VerbatimChar"/>
              </w:rPr>
              <w:t xml:space="preserve">4_results_visualisation.qmd</w:t>
            </w:r>
            <w:r>
              <w:t xml:space="preserve"> </w:t>
            </w:r>
            <w:r>
              <w:t xml:space="preserve">— figure production and ecological interpretation</w:t>
            </w:r>
          </w:p>
          <w:p>
            <w:pPr>
              <w:pStyle w:val="FirstParagraph"/>
            </w:pPr>
            <w:pPr>
              <w:spacing w:after="16"/>
            </w:pPr>
            <w:r>
              <w:t xml:space="preserve">This script provides the complete methodological detail for the pre-modelling diagnostic calibration referred to in the main text (Section</w:t>
            </w:r>
            <w:r>
              <w:t xml:space="preserve"> </w:t>
            </w:r>
            <w:r>
              <w:rPr>
                <w:i/>
                <w:iCs/>
              </w:rPr>
              <w:t xml:space="preserve">“</w:t>
            </w:r>
            <w:r>
              <w:rPr>
                <w:i/>
                <w:iCs/>
              </w:rPr>
              <w:t xml:space="preserve">Pre-modelling diagnostic calibration</w:t>
            </w:r>
            <w:r>
              <w:rPr>
                <w:i/>
                <w:iCs/>
              </w:rPr>
              <w:t xml:space="preserve">”</w:t>
            </w:r>
            <w:r>
              <w:t xml:space="preserve">). The calibration resolves three structural choices — window duration, minimum data completeness, and variance-stabilising transformation — before the full rolling-window piecewise SEM is executed, preventing circular model selection.</w:t>
            </w:r>
          </w:p>
        </w:tc>
      </w:tr>
    </w:tbl>
    <w:p>
      <w:r>
        <w:pict>
          <v:rect style="width:0;height:1.5pt" o:hralign="center" o:hrstd="t" o:hr="t"/>
        </w:pict>
      </w:r>
    </w:p>
    <w:bookmarkStart w:id="27" w:name="rationale-and-design"/>
    <w:p>
      <w:pPr>
        <w:pStyle w:val="Titre1"/>
      </w:pPr>
      <w:r>
        <w:t xml:space="preserve">Rationale and design</w:t>
      </w:r>
    </w:p>
    <w:bookmarkStart w:id="23" w:name="sec-rationale"/>
    <w:p>
      <w:pPr>
        <w:pStyle w:val="Titre2"/>
      </w:pPr>
      <w:r>
        <w:t xml:space="preserve">Why calibrate before fitting the SEM?</w:t>
      </w:r>
    </w:p>
    <w:p>
      <w:pPr>
        <w:pStyle w:val="FirstParagraph"/>
      </w:pPr>
      <w:r>
        <w:t xml:space="preserve">The rolling-window piecewise SEM fits four structural equations to consecutive overlapping time slices of ecological data. Three upstream choices condition whether those equations are statistically valid:</w:t>
      </w:r>
    </w:p>
    <w:p>
      <w:pPr>
        <w:pStyle w:val="Corpsdetexte"/>
      </w:pPr>
      <w:r>
        <w:rPr>
          <w:b/>
          <w:bCs/>
        </w:rPr>
        <w:t xml:space="preserve">Window duration</w:t>
      </w:r>
      <w:r>
        <w:t xml:space="preserve"> </w:t>
      </w:r>
      <w:r>
        <w:t xml:space="preserve">(</w:t>
      </w:r>
      <m:oMath>
        <m:r>
          <m:t>W</m:t>
        </m:r>
      </m:oMath>
      <w:r>
        <w:t xml:space="preserve">, in days). A window must be long enough for the linear mixed-effects (LME) sub-models to converge with stable random-effect estimates, yet short enough to track within-season dynamics.</w:t>
      </w:r>
    </w:p>
    <w:p>
      <w:pPr>
        <w:pStyle w:val="Corpsdetexte"/>
      </w:pPr>
      <w:r>
        <w:rPr>
          <w:b/>
          <w:bCs/>
        </w:rPr>
        <w:t xml:space="preserve">Minimum data completeness</w:t>
      </w:r>
      <w:r>
        <w:t xml:space="preserve"> </w:t>
      </w:r>
      <w:r>
        <w:t xml:space="preserve">(</w:t>
      </w:r>
      <m:oMath>
        <m:sSub>
          <m:e>
            <m:r>
              <m:t>C</m:t>
            </m:r>
          </m:e>
          <m:sub>
            <m:r>
              <m:rPr>
                <m:sty m:val="p"/>
              </m:rPr>
              <m:t>min</m:t>
            </m:r>
          </m:sub>
        </m:sSub>
      </m:oMath>
      <w:r>
        <w:t xml:space="preserve">). Sensor downtime and quality-control filters create gaps in the time series. A completeness threshold defines the minimum ratio of fully observed to total rows within a window before that window is discarded as too sparse. The minimum threshold for data completeness must strike a balance to avoid dropping too many windows while maintaining stable coefficient estimates.</w:t>
      </w:r>
    </w:p>
    <w:p>
      <w:pPr>
        <w:pStyle w:val="Corpsdetexte"/>
      </w:pPr>
      <w:r>
        <w:rPr>
          <w:b/>
          <w:bCs/>
        </w:rPr>
        <w:t xml:space="preserve">Variance-stabilising transformation</w:t>
      </w:r>
      <w:r>
        <w:t xml:space="preserve"> </w:t>
      </w:r>
      <w:r>
        <w:t xml:space="preserve">(</w:t>
      </w:r>
      <m:oMath>
        <m:r>
          <m:t>f</m:t>
        </m:r>
      </m:oMath>
      <w:r>
        <w:t xml:space="preserve">). Fauna counts and root growth measures are right-skewed, with variance scaling roughly with the mean. The LME residuals should be approximately normal with constant variance. A mis-specified transformation inflates Type I error for the fixed-effect t-tests on path coefficients.</w:t>
      </w:r>
    </w:p>
    <w:p>
      <w:pPr>
        <w:pStyle w:val="Corpsdetexte"/>
      </w:pPr>
      <w:r>
        <w:t xml:space="preserve">These choices cannot be validated after fitting without circularity (a transformation could be tuned to improve model fit on the very data it will be tested on). We therefore evaluate them systematically on a random subsample of windows before the full analysis.</w:t>
      </w:r>
    </w:p>
    <w:bookmarkEnd w:id="23"/>
    <w:bookmarkStart w:id="24" w:name="sec-dag"/>
    <w:p>
      <w:pPr>
        <w:pStyle w:val="Titre2"/>
      </w:pPr>
      <w:r>
        <w:t xml:space="preserve">Structural equations tested</w:t>
      </w:r>
    </w:p>
    <w:p>
      <w:pPr>
        <w:pStyle w:val="FirstParagraph"/>
      </w:pPr>
      <w:r>
        <w:t xml:space="preserve">The four structural equations encode the hypothesised causal hierarchy from land-use type through soil microclimate and root growth to faunal activity:</w:t>
      </w:r>
    </w:p>
    <w:p>
      <w:pPr>
        <w:pStyle w:val="Corpsdetexte"/>
      </w:pPr>
      <m:oMathPara>
        <m:oMathParaPr>
          <m:jc m:val="center"/>
        </m:oMathParaPr>
        <m:oMath>
          <m:sSub>
            <m:e>
              <m:r>
                <m:rPr>
                  <m:nor/>
                  <m:sty m:val="p"/>
                </m:rPr>
                <m:t>mc</m:t>
              </m:r>
            </m:e>
            <m:sub>
              <m:r>
                <m:t>1</m:t>
              </m:r>
            </m:sub>
          </m:sSub>
          <m:r>
            <m:rPr>
              <m:sty m:val="p"/>
            </m:rPr>
            <m:t>∼</m:t>
          </m:r>
          <m:sSub>
            <m:e>
              <m:r>
                <m:t>β</m:t>
              </m:r>
            </m:e>
            <m:sub>
              <m:r>
                <m:t>1</m:t>
              </m:r>
            </m:sub>
          </m:sSub>
          <m:r>
            <m:rPr>
              <m:sty m:val="p"/>
            </m:rPr>
            <m:t>⋅</m:t>
          </m:r>
          <m:r>
            <m:rPr>
              <m:nor/>
              <m:sty m:val="p"/>
            </m:rPr>
            <m:t>lu</m:t>
          </m:r>
        </m:oMath>
      </m:oMathPara>
    </w:p>
    <w:p>
      <w:pPr>
        <w:pStyle w:val="FirstParagraph"/>
      </w:pPr>
      <m:oMathPara>
        <m:oMathParaPr>
          <m:jc m:val="center"/>
        </m:oMathParaPr>
        <m:oMath>
          <m:sSub>
            <m:e>
              <m:r>
                <m:rPr>
                  <m:nor/>
                  <m:sty m:val="p"/>
                </m:rPr>
                <m:t>mc</m:t>
              </m:r>
            </m:e>
            <m:sub>
              <m:r>
                <m:t>2</m:t>
              </m:r>
            </m:sub>
          </m:sSub>
          <m:r>
            <m:rPr>
              <m:sty m:val="p"/>
            </m:rPr>
            <m:t>∼</m:t>
          </m:r>
          <m:sSub>
            <m:e>
              <m:r>
                <m:t>β</m:t>
              </m:r>
            </m:e>
            <m:sub>
              <m:r>
                <m:t>2</m:t>
              </m:r>
            </m:sub>
          </m:sSub>
          <m:r>
            <m:rPr>
              <m:sty m:val="p"/>
            </m:rPr>
            <m:t>⋅</m:t>
          </m:r>
          <m:r>
            <m:rPr>
              <m:nor/>
              <m:sty m:val="p"/>
            </m:rPr>
            <m:t>lu</m:t>
          </m:r>
        </m:oMath>
      </m:oMathPara>
    </w:p>
    <w:p>
      <w:pPr>
        <w:pStyle w:val="FirstParagraph"/>
      </w:pPr>
      <m:oMathPara>
        <m:oMathParaPr>
          <m:jc m:val="center"/>
        </m:oMathParaPr>
        <m:oMath>
          <m:r>
            <m:rPr>
              <m:nor/>
              <m:sty m:val="p"/>
            </m:rPr>
            <m:t>root</m:t>
          </m:r>
          <m:r>
            <m:rPr>
              <m:sty m:val="p"/>
            </m:rPr>
            <m:t>∼</m:t>
          </m:r>
          <m:sSub>
            <m:e>
              <m:r>
                <m:t>β</m:t>
              </m:r>
            </m:e>
            <m:sub>
              <m:r>
                <m:t>3</m:t>
              </m:r>
            </m:sub>
          </m:sSub>
          <m:r>
            <m:rPr>
              <m:sty m:val="p"/>
            </m:rPr>
            <m:t>⋅</m:t>
          </m:r>
          <m:sSub>
            <m:e>
              <m:r>
                <m:rPr>
                  <m:nor/>
                  <m:sty m:val="p"/>
                </m:rPr>
                <m:t>mc</m:t>
              </m:r>
            </m:e>
            <m:sub>
              <m:r>
                <m:t>1</m:t>
              </m:r>
            </m:sub>
          </m:sSub>
          <m:r>
            <m:rPr>
              <m:sty m:val="p"/>
            </m:rPr>
            <m:t>+</m:t>
          </m:r>
          <m:sSub>
            <m:e>
              <m:r>
                <m:t>β</m:t>
              </m:r>
            </m:e>
            <m:sub>
              <m:r>
                <m:t>4</m:t>
              </m:r>
            </m:sub>
          </m:sSub>
          <m:r>
            <m:rPr>
              <m:sty m:val="p"/>
            </m:rPr>
            <m:t>⋅</m:t>
          </m:r>
          <m:sSub>
            <m:e>
              <m:r>
                <m:rPr>
                  <m:nor/>
                  <m:sty m:val="p"/>
                </m:rPr>
                <m:t>mc</m:t>
              </m:r>
            </m:e>
            <m:sub>
              <m:r>
                <m:t>2</m:t>
              </m:r>
            </m:sub>
          </m:sSub>
          <m:r>
            <m:rPr>
              <m:sty m:val="p"/>
            </m:rPr>
            <m:t>+</m:t>
          </m:r>
          <m:sSub>
            <m:e>
              <m:r>
                <m:t>β</m:t>
              </m:r>
            </m:e>
            <m:sub>
              <m:r>
                <m:t>5</m:t>
              </m:r>
            </m:sub>
          </m:sSub>
          <m:r>
            <m:rPr>
              <m:sty m:val="p"/>
            </m:rPr>
            <m:t>⋅</m:t>
          </m:r>
          <m:r>
            <m:rPr>
              <m:nor/>
              <m:sty m:val="p"/>
            </m:rPr>
            <m:t>lu</m:t>
          </m:r>
        </m:oMath>
      </m:oMathPara>
    </w:p>
    <w:p>
      <w:pPr>
        <w:pStyle w:val="FirstParagraph"/>
      </w:pPr>
      <m:oMathPara>
        <m:oMathParaPr>
          <m:jc m:val="center"/>
        </m:oMathParaPr>
        <m:oMath>
          <m:r>
            <m:rPr>
              <m:nor/>
              <m:sty m:val="p"/>
            </m:rPr>
            <m:t>fauna</m:t>
          </m:r>
          <m:r>
            <m:rPr>
              <m:sty m:val="p"/>
            </m:rPr>
            <m:t>∼</m:t>
          </m:r>
          <m:sSub>
            <m:e>
              <m:r>
                <m:t>β</m:t>
              </m:r>
            </m:e>
            <m:sub>
              <m:r>
                <m:t>6</m:t>
              </m:r>
            </m:sub>
          </m:sSub>
          <m:r>
            <m:rPr>
              <m:sty m:val="p"/>
            </m:rPr>
            <m:t>⋅</m:t>
          </m:r>
          <m:sSub>
            <m:e>
              <m:r>
                <m:rPr>
                  <m:nor/>
                  <m:sty m:val="p"/>
                </m:rPr>
                <m:t>mc</m:t>
              </m:r>
            </m:e>
            <m:sub>
              <m:r>
                <m:t>1</m:t>
              </m:r>
            </m:sub>
          </m:sSub>
          <m:r>
            <m:rPr>
              <m:sty m:val="p"/>
            </m:rPr>
            <m:t>+</m:t>
          </m:r>
          <m:sSub>
            <m:e>
              <m:r>
                <m:t>β</m:t>
              </m:r>
            </m:e>
            <m:sub>
              <m:r>
                <m:t>7</m:t>
              </m:r>
            </m:sub>
          </m:sSub>
          <m:r>
            <m:rPr>
              <m:sty m:val="p"/>
            </m:rPr>
            <m:t>⋅</m:t>
          </m:r>
          <m:sSub>
            <m:e>
              <m:r>
                <m:rPr>
                  <m:nor/>
                  <m:sty m:val="p"/>
                </m:rPr>
                <m:t>mc</m:t>
              </m:r>
            </m:e>
            <m:sub>
              <m:r>
                <m:t>2</m:t>
              </m:r>
            </m:sub>
          </m:sSub>
          <m:r>
            <m:rPr>
              <m:sty m:val="p"/>
            </m:rPr>
            <m:t>+</m:t>
          </m:r>
          <m:sSub>
            <m:e>
              <m:r>
                <m:t>β</m:t>
              </m:r>
            </m:e>
            <m:sub>
              <m:r>
                <m:t>8</m:t>
              </m:r>
            </m:sub>
          </m:sSub>
          <m:r>
            <m:rPr>
              <m:sty m:val="p"/>
            </m:rPr>
            <m:t>⋅</m:t>
          </m:r>
          <m:r>
            <m:rPr>
              <m:nor/>
              <m:sty m:val="p"/>
            </m:rPr>
            <m:t>root</m:t>
          </m:r>
          <m:r>
            <m:rPr>
              <m:sty m:val="p"/>
            </m:rPr>
            <m:t>+</m:t>
          </m:r>
          <m:sSub>
            <m:e>
              <m:r>
                <m:t>β</m:t>
              </m:r>
            </m:e>
            <m:sub>
              <m:r>
                <m:t>9</m:t>
              </m:r>
            </m:sub>
          </m:sSub>
          <m:r>
            <m:rPr>
              <m:sty m:val="p"/>
            </m:rPr>
            <m:t>⋅</m:t>
          </m:r>
          <m:r>
            <m:rPr>
              <m:nor/>
              <m:sty m:val="p"/>
            </m:rPr>
            <m:t>lu</m:t>
          </m:r>
        </m:oMath>
      </m:oMathPara>
    </w:p>
    <w:p>
      <w:pPr>
        <w:pStyle w:val="FirstParagraph"/>
      </w:pPr>
      <w:r>
        <w:t xml:space="preserve">where lu = land-use type (0 = treed, 1 = cultivated), mc</w:t>
      </w:r>
      <m:oMath>
        <m:sSub>
          <m:e>
            <m:r>
              <m:t>​</m:t>
            </m:r>
          </m:e>
          <m:sub>
            <m:r>
              <m:t>1</m:t>
            </m:r>
          </m:sub>
        </m:sSub>
      </m:oMath>
      <w:r>
        <w:t xml:space="preserve"> </w:t>
      </w:r>
      <w:r>
        <w:t xml:space="preserve">= daily maximum soil temperature, mc</w:t>
      </w:r>
      <m:oMath>
        <m:sSub>
          <m:e>
            <m:r>
              <m:t>​</m:t>
            </m:r>
          </m:e>
          <m:sub>
            <m:r>
              <m:t>2</m:t>
            </m:r>
          </m:sub>
        </m:sSub>
      </m:oMath>
      <w:r>
        <w:t xml:space="preserve"> </w:t>
      </w:r>
      <w:r>
        <w:t xml:space="preserve">= daily maximum soil moisture, root = root growth area density (cm² per image), fauna = total invertebrate activity count.</w:t>
      </w:r>
    </w:p>
    <w:p>
      <w:pPr>
        <w:pStyle w:val="Corpsdetexte"/>
      </w:pPr>
      <w:r>
        <w:t xml:space="preserve">At the diagnostic stage each equation is fitted</w:t>
      </w:r>
      <w:r>
        <w:t xml:space="preserve"> </w:t>
      </w:r>
      <w:r>
        <w:rPr>
          <w:b/>
          <w:bCs/>
        </w:rPr>
        <w:t xml:space="preserve">independently as a classical LME</w:t>
      </w:r>
      <w:r>
        <w:t xml:space="preserve"> </w:t>
      </w:r>
      <w:r>
        <w:t xml:space="preserve">rather than within the full piecewise SEM. This is intentional: the diagnostic criteria concern the residual structure of individual equations, and a piecewise SEM failure on Fisher’s C would conflate structural misspecification with residual non-normality. Once the residual properties are acceptable, Script S3 assembles the four validated equations into the full piecewise SEM.</w:t>
      </w:r>
    </w:p>
    <w:bookmarkEnd w:id="24"/>
    <w:bookmarkStart w:id="25" w:name="sec-grid"/>
    <w:p>
      <w:pPr>
        <w:pStyle w:val="Titre2"/>
      </w:pPr>
      <w:r>
        <w:t xml:space="preserve">Parameter space</w:t>
      </w:r>
    </w:p>
    <w:p>
      <w:pPr>
        <w:pStyle w:val="FirstParagraph"/>
      </w:pPr>
      <w:r>
        <w:t xml:space="preserve">The calibration evaluates the full factorial combination of: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Candidates</w:t>
            </w:r>
          </w:p>
        </w:tc>
        <w:tc>
          <w:tcPr/>
          <w:p>
            <w:pPr>
              <w:pStyle w:val="Compact"/>
              <w:jc w:val="left"/>
            </w:pPr>
            <w:r>
              <w:t xml:space="preserve">Notation</w:t>
            </w:r>
          </w:p>
        </w:tc>
      </w:tr>
      <w:tr>
        <w:tc>
          <w:tcPr/>
          <w:p>
            <w:pPr>
              <w:pStyle w:val="Compact"/>
              <w:jc w:val="left"/>
            </w:pPr>
            <w:r>
              <w:t xml:space="preserve">Window duration</w:t>
            </w:r>
          </w:p>
        </w:tc>
        <w:tc>
          <w:tcPr/>
          <w:p>
            <w:pPr>
              <w:pStyle w:val="Compact"/>
              <w:jc w:val="left"/>
            </w:pPr>
            <w:r>
              <w:t xml:space="preserve">10, 14, 21, 30 days</w:t>
            </w:r>
          </w:p>
        </w:tc>
        <w:tc>
          <w:tcPr/>
          <w:p>
            <w:pPr>
              <w:pStyle w:val="Compact"/>
              <w:jc w:val="left"/>
            </w:pPr>
            <m:oMath>
              <m:r>
                <m:t>W</m:t>
              </m:r>
              <m:r>
                <m:rPr>
                  <m:sty m:val="p"/>
                </m:rPr>
                <m:t>∈</m:t>
              </m:r>
              <m:r>
                <m:rPr>
                  <m:sty m:val="p"/>
                </m:rPr>
                <m:t>{</m:t>
              </m:r>
              <m:r>
                <m:t>10</m:t>
              </m:r>
              <m:r>
                <m:rPr>
                  <m:sty m:val="p"/>
                </m:rPr>
                <m:t>,</m:t>
              </m:r>
              <m:r>
                <m:t>14</m:t>
              </m:r>
              <m:r>
                <m:rPr>
                  <m:sty m:val="p"/>
                </m:rPr>
                <m:t>,</m:t>
              </m:r>
              <m:r>
                <m:t>21</m:t>
              </m:r>
              <m:r>
                <m:rPr>
                  <m:sty m:val="p"/>
                </m:rPr>
                <m:t>,</m:t>
              </m:r>
              <m:r>
                <m:t>30</m:t>
              </m:r>
              <m:r>
                <m:rPr>
                  <m:sty m:val="p"/>
                </m:rPr>
                <m:t>}</m:t>
              </m:r>
            </m:oMath>
          </w:p>
        </w:tc>
      </w:tr>
      <w:tr>
        <w:tc>
          <w:tcPr/>
          <w:p>
            <w:pPr>
              <w:pStyle w:val="Compact"/>
              <w:jc w:val="left"/>
            </w:pPr>
            <w:r>
              <w:t xml:space="preserve">Min. completeness</w:t>
            </w:r>
          </w:p>
        </w:tc>
        <w:tc>
          <w:tcPr/>
          <w:p>
            <w:pPr>
              <w:pStyle w:val="Compact"/>
              <w:jc w:val="left"/>
            </w:pPr>
            <w:r>
              <w:t xml:space="preserve">5%, 10%, 20%, 30%</w:t>
            </w:r>
          </w:p>
        </w:tc>
        <w:tc>
          <w:tcPr/>
          <w:p>
            <w:pPr>
              <w:pStyle w:val="Compact"/>
              <w:jc w:val="left"/>
            </w:pPr>
            <m:oMath>
              <m:sSub>
                <m:e>
                  <m:r>
                    <m:t>C</m:t>
                  </m:r>
                </m:e>
                <m:sub>
                  <m:r>
                    <m:rPr>
                      <m:sty m:val="p"/>
                    </m:rPr>
                    <m:t>min</m:t>
                  </m:r>
                </m:sub>
              </m:sSub>
              <m:r>
                <m:rPr>
                  <m:sty m:val="p"/>
                </m:rPr>
                <m:t>∈</m:t>
              </m:r>
              <m:r>
                <m:rPr>
                  <m:sty m:val="p"/>
                </m:rPr>
                <m:t>{</m:t>
              </m:r>
              <m:r>
                <m:t>0.05</m:t>
              </m:r>
              <m:r>
                <m:rPr>
                  <m:sty m:val="p"/>
                </m:rPr>
                <m:t>,</m:t>
              </m:r>
              <m:r>
                <m:t>0.1</m:t>
              </m:r>
              <m:r>
                <m:rPr>
                  <m:sty m:val="p"/>
                </m:rPr>
                <m:t>,</m:t>
              </m:r>
              <m:r>
                <m:t>0.2</m:t>
              </m:r>
              <m:r>
                <m:rPr>
                  <m:sty m:val="p"/>
                </m:rPr>
                <m:t>,</m:t>
              </m:r>
              <m:r>
                <m:t>0.3</m:t>
              </m:r>
              <m:r>
                <m:rPr>
                  <m:sty m:val="p"/>
                </m:rPr>
                <m:t>}</m:t>
              </m:r>
            </m:oMath>
          </w:p>
        </w:tc>
      </w:tr>
      <w:tr>
        <w:tc>
          <w:tcPr/>
          <w:p>
            <w:pPr>
              <w:pStyle w:val="Compact"/>
              <w:jc w:val="left"/>
            </w:pPr>
            <w:r>
              <w:t xml:space="preserve">Transformation</w:t>
            </w:r>
          </w:p>
        </w:tc>
        <w:tc>
          <w:tcPr/>
          <w:p>
            <w:pPr>
              <w:pStyle w:val="Compact"/>
              <w:jc w:val="left"/>
            </w:pPr>
            <w:r>
              <w:t xml:space="preserve">none, Freeman–Tukey, log(1+x), Hellinger</w:t>
            </w:r>
          </w:p>
        </w:tc>
        <w:tc>
          <w:tcPr/>
          <w:p>
            <w:pPr>
              <w:pStyle w:val="Compact"/>
              <w:jc w:val="left"/>
            </w:pPr>
            <m:oMath>
              <m:r>
                <m:t>f</m:t>
              </m:r>
              <m:r>
                <m:rPr>
                  <m:sty m:val="p"/>
                </m:rPr>
                <m:t>∈</m:t>
              </m:r>
              <m:r>
                <m:rPr>
                  <m:sty m:val="p"/>
                </m:rPr>
                <m:t>{</m:t>
              </m:r>
              <m:r>
                <m:t>i</m:t>
              </m:r>
              <m:r>
                <m:t>d</m:t>
              </m:r>
              <m:r>
                <m:rPr>
                  <m:sty m:val="p"/>
                </m:rPr>
                <m:t>,</m:t>
              </m:r>
              <m:r>
                <m:t>F</m:t>
              </m:r>
              <m:r>
                <m:t>T</m:t>
              </m:r>
              <m:r>
                <m:rPr>
                  <m:sty m:val="p"/>
                </m:rPr>
                <m:t>,</m:t>
              </m:r>
              <m:r>
                <m:rPr>
                  <m:sty m:val="p"/>
                </m:rPr>
                <m:t>log</m:t>
              </m:r>
              <m:r>
                <m:rPr>
                  <m:sty m:val="p"/>
                </m:rPr>
                <m:t>,</m:t>
              </m:r>
              <m:r>
                <m:t>H</m:t>
              </m:r>
              <m:r>
                <m:rPr>
                  <m:sty m:val="p"/>
                </m:rPr>
                <m:t>}</m:t>
              </m:r>
            </m:oMath>
          </w:p>
        </w:tc>
      </w:tr>
    </w:tbl>
    <w:p>
      <w:pPr>
        <w:pStyle w:val="Corpsdetexte"/>
      </w:pPr>
      <w:r>
        <w:t xml:space="preserve">This yields</w:t>
      </w:r>
      <w:r>
        <w:t xml:space="preserve"> </w:t>
      </w:r>
      <w:r>
        <w:rPr>
          <w:b/>
          <w:bCs/>
        </w:rPr>
        <w:t xml:space="preserve">64 configurations</w:t>
      </w:r>
      <w:r>
        <w:t xml:space="preserve">, each tested on a random subsample of 30 windows for computational efficiency.</w:t>
      </w:r>
    </w:p>
    <w:p>
      <w:pPr>
        <w:pStyle w:val="Corpsdetexte"/>
      </w:pPr>
      <w:r>
        <w:t xml:space="preserve">The transformation candidates are:</w:t>
      </w:r>
    </w:p>
    <w:p>
      <w:pPr>
        <w:pStyle w:val="Corpsdetexte"/>
      </w:pPr>
      <m:oMathPara>
        <m:oMathParaPr>
          <m:jc m:val="center"/>
        </m:oMathParaPr>
        <m:oMath>
          <m:sSub>
            <m:e>
              <m:r>
                <m:t>f</m:t>
              </m:r>
            </m:e>
            <m:sub>
              <m:r>
                <m:rPr>
                  <m:nor/>
                  <m:sty m:val="p"/>
                </m:rPr>
                <m:t>FT</m:t>
              </m:r>
            </m:sub>
          </m:sSub>
          <m:d>
            <m:dPr>
              <m:begChr m:val="("/>
              <m:endChr m:val=")"/>
              <m:sepChr m:val=""/>
              <m:grow/>
            </m:dPr>
            <m:e>
              <m:r>
                <m:t>x</m:t>
              </m:r>
            </m:e>
          </m:d>
          <m:r>
            <m:rPr>
              <m:sty m:val="p"/>
            </m:rPr>
            <m:t>=</m:t>
          </m:r>
          <m:rad>
            <m:radPr>
              <m:degHide m:val="on"/>
            </m:radPr>
            <m:deg/>
            <m:e>
              <m:r>
                <m:t>x</m:t>
              </m:r>
            </m:e>
          </m:rad>
          <m:r>
            <m:rPr>
              <m:sty m:val="p"/>
            </m:rPr>
            <m:t>+</m:t>
          </m:r>
          <m:rad>
            <m:radPr>
              <m:degHide m:val="on"/>
            </m:radPr>
            <m:deg/>
            <m:e>
              <m:r>
                <m:t>x</m:t>
              </m:r>
              <m:r>
                <m:rPr>
                  <m:sty m:val="p"/>
                </m:rPr>
                <m:t>+</m:t>
              </m:r>
              <m:r>
                <m:t>1</m:t>
              </m:r>
            </m:e>
          </m:rad>
        </m:oMath>
      </m:oMathPara>
    </w:p>
    <w:p>
      <w:pPr>
        <w:pStyle w:val="FirstParagraph"/>
      </w:pPr>
      <m:oMathPara>
        <m:oMathParaPr>
          <m:jc m:val="center"/>
        </m:oMathParaPr>
        <m:oMath>
          <m:sSub>
            <m:e>
              <m:r>
                <m:t>f</m:t>
              </m:r>
            </m:e>
            <m:sub>
              <m:r>
                <m:rPr>
                  <m:nor/>
                  <m:sty m:val="p"/>
                </m:rPr>
                <m:t>log</m:t>
              </m:r>
            </m:sub>
          </m:sSub>
          <m:d>
            <m:dPr>
              <m:begChr m:val="("/>
              <m:endChr m:val=")"/>
              <m:sepChr m:val=""/>
              <m:grow/>
            </m:dPr>
            <m:e>
              <m:r>
                <m:t>x</m:t>
              </m:r>
            </m:e>
          </m:d>
          <m:r>
            <m:rPr>
              <m:sty m:val="p"/>
            </m:rPr>
            <m:t>=</m:t>
          </m:r>
          <m:r>
            <m:rPr>
              <m:sty m:val="p"/>
            </m:rPr>
            <m:t>log</m:t>
          </m:r>
          <m:r>
            <m:t>​</m:t>
          </m:r>
          <m:d>
            <m:dPr>
              <m:begChr m:val="("/>
              <m:endChr m:val=")"/>
              <m:sepChr m:val=""/>
              <m:grow/>
            </m:dPr>
            <m:e>
              <m:r>
                <m:t>1</m:t>
              </m:r>
              <m:r>
                <m:rPr>
                  <m:sty m:val="p"/>
                </m:rPr>
                <m:t>+</m:t>
              </m:r>
              <m:r>
                <m:t>x</m:t>
              </m:r>
              <m:r>
                <m:rPr>
                  <m:sty m:val="p"/>
                </m:rPr>
                <m:t>+</m:t>
              </m:r>
              <m:d>
                <m:dPr>
                  <m:begChr m:val="|"/>
                  <m:endChr m:val="|"/>
                  <m:sepChr m:val=""/>
                  <m:grow/>
                </m:dPr>
                <m:e>
                  <m:r>
                    <m:rPr>
                      <m:sty m:val="p"/>
                    </m:rPr>
                    <m:t>min</m:t>
                  </m:r>
                  <m:d>
                    <m:dPr>
                      <m:begChr m:val="("/>
                      <m:endChr m:val=")"/>
                      <m:sepChr m:val=""/>
                      <m:grow/>
                    </m:dPr>
                    <m:e>
                      <m:r>
                        <m:t>x</m:t>
                      </m:r>
                    </m:e>
                  </m:d>
                </m:e>
              </m:d>
              <m:r>
                <m:rPr>
                  <m:sty m:val="p"/>
                </m:rPr>
                <m:t>⋅</m:t>
              </m:r>
              <m:sSub>
                <m:e>
                  <m:r>
                    <m:rPr>
                      <m:sty m:val="b"/>
                    </m:rPr>
                    <m:t>1</m:t>
                  </m:r>
                </m:e>
                <m:sub>
                  <m:d>
                    <m:dPr>
                      <m:begChr m:val="["/>
                      <m:endChr m:val="]"/>
                      <m:sepChr m:val=""/>
                      <m:grow/>
                    </m:dPr>
                    <m:e>
                      <m:r>
                        <m:rPr>
                          <m:sty m:val="p"/>
                        </m:rPr>
                        <m:t>min</m:t>
                      </m:r>
                      <m:d>
                        <m:dPr>
                          <m:begChr m:val="("/>
                          <m:endChr m:val=")"/>
                          <m:sepChr m:val=""/>
                          <m:grow/>
                        </m:dPr>
                        <m:e>
                          <m:r>
                            <m:t>x</m:t>
                          </m:r>
                        </m:e>
                      </m:d>
                      <m:r>
                        <m:rPr>
                          <m:sty m:val="p"/>
                        </m:rPr>
                        <m:t>≤</m:t>
                      </m:r>
                      <m:r>
                        <m:t>0</m:t>
                      </m:r>
                    </m:e>
                  </m:d>
                </m:sub>
              </m:sSub>
            </m:e>
          </m:d>
        </m:oMath>
      </m:oMathPara>
    </w:p>
    <w:p>
      <w:pPr>
        <w:pStyle w:val="FirstParagraph"/>
      </w:pPr>
      <m:oMathPara>
        <m:oMathParaPr>
          <m:jc m:val="center"/>
        </m:oMathParaPr>
        <m:oMath>
          <m:sSub>
            <m:e>
              <m:r>
                <m:t>f</m:t>
              </m:r>
            </m:e>
            <m:sub>
              <m:r>
                <m:rPr>
                  <m:nor/>
                  <m:sty m:val="p"/>
                </m:rPr>
                <m:t>Hellinger</m:t>
              </m:r>
            </m:sub>
          </m:sSub>
          <m:d>
            <m:dPr>
              <m:begChr m:val="("/>
              <m:endChr m:val=")"/>
              <m:sepChr m:val=""/>
              <m:grow/>
            </m:dPr>
            <m:e>
              <m:r>
                <m:t>x</m:t>
              </m:r>
            </m:e>
          </m:d>
          <m:r>
            <m:rPr>
              <m:sty m:val="p"/>
            </m:rPr>
            <m:t>=</m:t>
          </m:r>
          <m:rad>
            <m:radPr>
              <m:degHide m:val="on"/>
            </m:radPr>
            <m:deg/>
            <m:e>
              <m:f>
                <m:fPr>
                  <m:type m:val="bar"/>
                </m:fPr>
                <m:num>
                  <m:r>
                    <m:t>x</m:t>
                  </m:r>
                </m:num>
                <m:den>
                  <m:r>
                    <m:rPr>
                      <m:sty m:val="p"/>
                    </m:rPr>
                    <m:t>∑</m:t>
                  </m:r>
                  <m:r>
                    <m:t>x</m:t>
                  </m:r>
                </m:den>
              </m:f>
            </m:e>
          </m:rad>
        </m:oMath>
      </m:oMathPara>
    </w:p>
    <w:p>
      <w:pPr>
        <w:pStyle w:val="FirstParagraph"/>
      </w:pPr>
      <w:r>
        <w:t xml:space="preserve">The Freeman–Tukey double-square-root and Hellinger are particularly suited to count data with many zeros. For transformations requiring strictly positive input, a small positive shift is applied when</w:t>
      </w:r>
      <w:r>
        <w:t xml:space="preserve"> </w:t>
      </w:r>
      <m:oMath>
        <m:r>
          <m:rPr>
            <m:sty m:val="p"/>
          </m:rPr>
          <m:t>min</m:t>
        </m:r>
        <m:d>
          <m:dPr>
            <m:begChr m:val="("/>
            <m:endChr m:val=")"/>
            <m:sepChr m:val=""/>
            <m:grow/>
          </m:dPr>
          <m:e>
            <m:r>
              <m:t>x</m:t>
            </m:r>
          </m:e>
        </m:d>
        <m:r>
          <m:rPr>
            <m:sty m:val="p"/>
          </m:rPr>
          <m:t>≤</m:t>
        </m:r>
        <m:r>
          <m:t>0</m:t>
        </m:r>
      </m:oMath>
      <w:r>
        <w:t xml:space="preserve">.</w:t>
      </w:r>
    </w:p>
    <w:bookmarkEnd w:id="25"/>
    <w:bookmarkStart w:id="26" w:name="sec-completeness"/>
    <w:p>
      <w:pPr>
        <w:pStyle w:val="Titre2"/>
      </w:pPr>
      <w:r>
        <w:t xml:space="preserve">Completeness definition</w:t>
      </w:r>
    </w:p>
    <w:p>
      <w:pPr>
        <w:pStyle w:val="FirstParagraph"/>
      </w:pPr>
      <w:r>
        <w:t xml:space="preserve">Completeness is defined as the ratio of fully observed to total rows within a window:</w:t>
      </w:r>
    </w:p>
    <w:p>
      <w:pPr>
        <w:pStyle w:val="Corpsdetexte"/>
      </w:pPr>
      <m:oMathPara>
        <m:oMathParaPr>
          <m:jc m:val="center"/>
        </m:oMathParaPr>
        <m:oMath>
          <m:r>
            <m:t>C</m:t>
          </m:r>
          <m:d>
            <m:dPr>
              <m:begChr m:val="("/>
              <m:endChr m:val=")"/>
              <m:sepChr m:val=""/>
              <m:grow/>
            </m:dPr>
            <m:e>
              <m:r>
                <m:t>w</m:t>
              </m:r>
            </m:e>
          </m:d>
          <m:r>
            <m:rPr>
              <m:sty m:val="p"/>
            </m:rPr>
            <m:t>=</m:t>
          </m:r>
          <m:f>
            <m:fPr>
              <m:type m:val="bar"/>
            </m:fPr>
            <m:num>
              <m:d>
                <m:dPr>
                  <m:begChr m:val="|"/>
                  <m:endChr m:val="|"/>
                  <m:sepChr m:val=""/>
                  <m:grow/>
                </m:dPr>
                <m:e>
                  <m:r>
                    <m:rPr>
                      <m:sty m:val="p"/>
                    </m:rPr>
                    <m:t>{</m:t>
                  </m:r>
                  <m:r>
                    <m:t>i</m:t>
                  </m:r>
                  <m:r>
                    <m:rPr>
                      <m:sty m:val="p"/>
                    </m:rPr>
                    <m:t>∈</m:t>
                  </m:r>
                  <m:r>
                    <m:t>w</m:t>
                  </m:r>
                  <m:r>
                    <m:rPr>
                      <m:sty m:val="p"/>
                    </m:rPr>
                    <m:t>:</m:t>
                  </m:r>
                  <m:sSub>
                    <m:e>
                      <m:r>
                        <m:rPr>
                          <m:sty m:val="b"/>
                        </m:rPr>
                        <m:t>x</m:t>
                      </m:r>
                    </m:e>
                    <m:sub>
                      <m:r>
                        <m:t>i</m:t>
                      </m:r>
                    </m:sub>
                  </m:sSub>
                  <m:r>
                    <m:rPr>
                      <m:nor/>
                      <m:sty m:val="p"/>
                    </m:rPr>
                    <m:t> complete</m:t>
                  </m:r>
                  <m:r>
                    <m:rPr>
                      <m:sty m:val="p"/>
                    </m:rPr>
                    <m:t>}</m:t>
                  </m:r>
                </m:e>
              </m:d>
            </m:num>
            <m:den>
              <m:d>
                <m:dPr>
                  <m:begChr m:val="|"/>
                  <m:endChr m:val="|"/>
                  <m:sepChr m:val=""/>
                  <m:grow/>
                </m:dPr>
                <m:e>
                  <m:r>
                    <m:t>w</m:t>
                  </m:r>
                </m:e>
              </m:d>
            </m:den>
          </m:f>
        </m:oMath>
      </m:oMathPara>
    </w:p>
    <w:p>
      <w:r>
        <w:pict>
          <v:rect style="width:0;height:1.5pt" o:hralign="center" o:hrstd="t" o:hr="t"/>
        </w:pict>
      </w:r>
    </w:p>
    <w:bookmarkEnd w:id="26"/>
    <w:bookmarkEnd w:id="27"/>
    <w:bookmarkStart w:id="32" w:name="sec-diagnostics"/>
    <w:p>
      <w:pPr>
        <w:pStyle w:val="Titre1"/>
      </w:pPr>
      <w:r>
        <w:t xml:space="preserve">Diagnostic criteria</w:t>
      </w:r>
    </w:p>
    <w:p>
      <w:pPr>
        <w:pStyle w:val="FirstParagraph"/>
      </w:pPr>
      <w:r>
        <w:t xml:space="preserve">For each (configuration × window × equation) triple, three residual diagnostics are assessed simultaneously. A window is classified as</w:t>
      </w:r>
      <w:r>
        <w:t xml:space="preserve"> </w:t>
      </w:r>
      <w:r>
        <w:rPr>
          <w:b/>
          <w:bCs/>
        </w:rPr>
        <w:t xml:space="preserve">diagnostically valid</w:t>
      </w:r>
      <w:r>
        <w:t xml:space="preserve"> </w:t>
      </w:r>
      <w:r>
        <w:t xml:space="preserve">only when all three criteria are satisfied concurrently.</w:t>
      </w:r>
    </w:p>
    <w:bookmarkStart w:id="28" w:name="sec-hetero"/>
    <w:p>
      <w:pPr>
        <w:pStyle w:val="Titre2"/>
      </w:pPr>
      <w:r>
        <w:t xml:space="preserve">Heteroscedasticity</w:t>
      </w:r>
    </w:p>
    <w:p>
      <w:pPr>
        <w:pStyle w:val="FirstParagraph"/>
      </w:pPr>
      <w:r>
        <w:t xml:space="preserve">We use the Spearman rank correlation between absolute normalised residuals and population-level fitted values as a monotone measure of variance non-constancy:</w:t>
      </w:r>
    </w:p>
    <w:p>
      <w:pPr>
        <w:pStyle w:val="Corpsdetexte"/>
      </w:pPr>
      <m:oMathPara>
        <m:oMathParaPr>
          <m:jc m:val="center"/>
        </m:oMathParaPr>
        <m:oMath>
          <m:sSub>
            <m:e>
              <m:r>
                <m:t>ρ</m:t>
              </m:r>
            </m:e>
            <m:sub>
              <m:r>
                <m:rPr>
                  <m:nor/>
                  <m:sty m:val="p"/>
                </m:rPr>
                <m:t>hetero</m:t>
              </m:r>
            </m:sub>
          </m:sSub>
          <m:r>
            <m:rPr>
              <m:sty m:val="p"/>
            </m:rPr>
            <m:t>=</m:t>
          </m:r>
          <m:r>
            <m:rPr>
              <m:nor/>
              <m:sty m:val="p"/>
            </m:rPr>
            <m:t>Spearman</m:t>
          </m:r>
          <m:r>
            <m:t>​</m:t>
          </m:r>
          <m:d>
            <m:dPr>
              <m:begChr m:val="("/>
              <m:endChr m:val=")"/>
              <m:sepChr m:val=""/>
              <m:grow/>
            </m:dPr>
            <m:e>
              <m:d>
                <m:dPr>
                  <m:begChr m:val="|"/>
                  <m:endChr m:val="|"/>
                  <m:sepChr m:val=""/>
                  <m:grow/>
                </m:dPr>
                <m:e>
                  <m:sSub>
                    <m:e>
                      <m:acc>
                        <m:accPr>
                          <m:chr m:val="̂"/>
                        </m:accPr>
                        <m:e>
                          <m:r>
                            <m:t>ε</m:t>
                          </m:r>
                        </m:e>
                      </m:acc>
                    </m:e>
                    <m:sub>
                      <m:r>
                        <m:rPr>
                          <m:nor/>
                          <m:sty m:val="p"/>
                        </m:rPr>
                        <m:t>norm</m:t>
                      </m:r>
                    </m:sub>
                  </m:sSub>
                </m:e>
              </m:d>
              <m:r>
                <m:rPr>
                  <m:sty m:val="p"/>
                </m:rPr>
                <m:t>,</m:t>
              </m:r>
              <m:r>
                <m:t> </m:t>
              </m:r>
              <m:acc>
                <m:accPr>
                  <m:chr m:val="̂"/>
                </m:accPr>
                <m:e>
                  <m:r>
                    <m:t>y</m:t>
                  </m:r>
                </m:e>
              </m:acc>
            </m:e>
          </m:d>
        </m:oMath>
      </m:oMathPara>
    </w:p>
    <w:p>
      <w:pPr>
        <w:pStyle w:val="FirstParagraph"/>
      </w:pPr>
      <w:r>
        <w:rPr>
          <w:b/>
          <w:bCs/>
        </w:rPr>
        <w:t xml:space="preserve">Criterion C1:</w:t>
      </w:r>
      <w:r>
        <w:t xml:space="preserve"> </w:t>
      </w:r>
      <m:oMath>
        <m:d>
          <m:dPr>
            <m:begChr m:val="|"/>
            <m:endChr m:val="|"/>
            <m:sepChr m:val=""/>
            <m:grow/>
          </m:dPr>
          <m:e>
            <m:sSub>
              <m:e>
                <m:r>
                  <m:t>ρ</m:t>
                </m:r>
              </m:e>
              <m:sub>
                <m:r>
                  <m:rPr>
                    <m:nor/>
                    <m:sty m:val="p"/>
                  </m:rPr>
                  <m:t>hetero</m:t>
                </m:r>
              </m:sub>
            </m:sSub>
          </m:e>
        </m:d>
        <m:r>
          <m:rPr>
            <m:sty m:val="p"/>
          </m:rPr>
          <m:t>&lt;</m:t>
        </m:r>
        <m:r>
          <m:t>0.40</m:t>
        </m:r>
      </m:oMath>
      <w:r>
        <w:t xml:space="preserve">. A positive correlation indicates that residual variance grows with fitted value (the classical heteroscedastic pattern).</w:t>
      </w:r>
    </w:p>
    <w:bookmarkEnd w:id="28"/>
    <w:bookmarkStart w:id="29" w:name="sec-skewness"/>
    <w:p>
      <w:pPr>
        <w:pStyle w:val="Titre2"/>
      </w:pPr>
      <w:r>
        <w:t xml:space="preserve">Skewness</w:t>
      </w:r>
    </w:p>
    <w:p>
      <w:pPr>
        <w:pStyle w:val="FirstParagraph"/>
      </w:pPr>
      <m:oMathPara>
        <m:oMathParaPr>
          <m:jc m:val="center"/>
        </m:oMathParaPr>
        <m:oMath>
          <m:r>
            <m:rPr>
              <m:nor/>
              <m:sty m:val="p"/>
            </m:rPr>
            <m:t>skew</m:t>
          </m:r>
          <m:d>
            <m:dPr>
              <m:begChr m:val="("/>
              <m:endChr m:val=")"/>
              <m:sepChr m:val=""/>
              <m:grow/>
            </m:dPr>
            <m:e>
              <m:sSub>
                <m:e>
                  <m:acc>
                    <m:accPr>
                      <m:chr m:val="̂"/>
                    </m:accPr>
                    <m:e>
                      <m:r>
                        <m:t>ε</m:t>
                      </m:r>
                    </m:e>
                  </m:acc>
                </m:e>
                <m:sub>
                  <m:r>
                    <m:rPr>
                      <m:nor/>
                      <m:sty m:val="p"/>
                    </m:rPr>
                    <m:t>norm</m:t>
                  </m:r>
                </m:sub>
              </m:sSub>
            </m:e>
          </m:d>
          <m:r>
            <m:rPr>
              <m:sty m:val="p"/>
            </m:rPr>
            <m:t>=</m:t>
          </m:r>
          <m:f>
            <m:fPr>
              <m:type m:val="bar"/>
            </m:fPr>
            <m:num>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acc>
                                <m:accPr>
                                  <m:chr m:val="̂"/>
                                </m:accPr>
                                <m:e>
                                  <m:r>
                                    <m:t>ε</m:t>
                                  </m:r>
                                </m:e>
                              </m:acc>
                            </m:e>
                            <m:sub>
                              <m:r>
                                <m:t>i</m:t>
                              </m:r>
                            </m:sub>
                          </m:sSub>
                          <m:r>
                            <m:rPr>
                              <m:sty m:val="p"/>
                            </m:rPr>
                            <m:t>−</m:t>
                          </m:r>
                          <m:acc>
                            <m:accPr>
                              <m:chr m:val="‾"/>
                            </m:accPr>
                            <m:e>
                              <m:r>
                                <m:t>ε</m:t>
                              </m:r>
                            </m:e>
                          </m:acc>
                        </m:e>
                      </m:d>
                    </m:e>
                    <m:sup>
                      <m:r>
                        <m:t>3</m:t>
                      </m:r>
                    </m:sup>
                  </m:sSup>
                </m:e>
              </m:nary>
            </m:num>
            <m:den>
              <m:sSup>
                <m:e>
                  <m:d>
                    <m:dPr>
                      <m:begChr m:val="["/>
                      <m:endChr m:val="]"/>
                      <m:sep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acc>
                                        <m:accPr>
                                          <m:chr m:val="̂"/>
                                        </m:accPr>
                                        <m:e>
                                          <m:r>
                                            <m:t>ε</m:t>
                                          </m:r>
                                        </m:e>
                                      </m:acc>
                                    </m:e>
                                    <m:sub>
                                      <m:r>
                                        <m:t>i</m:t>
                                      </m:r>
                                    </m:sub>
                                  </m:sSub>
                                  <m:r>
                                    <m:rPr>
                                      <m:sty m:val="p"/>
                                    </m:rPr>
                                    <m:t>−</m:t>
                                  </m:r>
                                  <m:acc>
                                    <m:accPr>
                                      <m:chr m:val="‾"/>
                                    </m:accPr>
                                    <m:e>
                                      <m:r>
                                        <m:t>ε</m:t>
                                      </m:r>
                                    </m:e>
                                  </m:acc>
                                </m:e>
                              </m:d>
                            </m:e>
                            <m:sup>
                              <m:r>
                                <m:t>2</m:t>
                              </m:r>
                            </m:sup>
                          </m:sSup>
                        </m:e>
                      </m:nary>
                    </m:e>
                  </m:d>
                </m:e>
                <m:sup>
                  <m:r>
                    <m:t>3</m:t>
                  </m:r>
                  <m:r>
                    <m:rPr>
                      <m:sty m:val="p"/>
                    </m:rPr>
                    <m:t>/</m:t>
                  </m:r>
                  <m:r>
                    <m:t>2</m:t>
                  </m:r>
                </m:sup>
              </m:sSup>
            </m:den>
          </m:f>
        </m:oMath>
      </m:oMathPara>
    </w:p>
    <w:p>
      <w:pPr>
        <w:pStyle w:val="FirstParagraph"/>
      </w:pPr>
      <w:r>
        <w:rPr>
          <w:b/>
          <w:bCs/>
        </w:rPr>
        <w:t xml:space="preserve">Criterion C2:</w:t>
      </w:r>
      <w:r>
        <w:t xml:space="preserve"> </w:t>
      </w:r>
      <m:oMath>
        <m:d>
          <m:dPr>
            <m:begChr m:val="|"/>
            <m:endChr m:val="|"/>
            <m:sepChr m:val=""/>
            <m:grow/>
          </m:dPr>
          <m:e>
            <m:r>
              <m:rPr>
                <m:nor/>
                <m:sty m:val="p"/>
              </m:rPr>
              <m:t>skew</m:t>
            </m:r>
          </m:e>
        </m:d>
        <m:r>
          <m:rPr>
            <m:sty m:val="p"/>
          </m:rPr>
          <m:t>&lt;</m:t>
        </m:r>
        <m:r>
          <m:t>1.50</m:t>
        </m:r>
      </m:oMath>
      <w:r>
        <w:t xml:space="preserve">. Large skewness of normalised residuals indicates the chosen transformation has not adequately symmetrised the response distribution, inflating Type I error on the fixed-effect path coefficients regardless of whether variance is constant.</w:t>
      </w:r>
    </w:p>
    <w:bookmarkEnd w:id="29"/>
    <w:bookmarkStart w:id="30" w:name="sec-vif"/>
    <w:p>
      <w:pPr>
        <w:pStyle w:val="Titre2"/>
      </w:pPr>
      <w:r>
        <w:t xml:space="preserve">Collinearity</w:t>
      </w:r>
    </w:p>
    <w:p>
      <w:pPr>
        <w:pStyle w:val="FirstParagraph"/>
      </w:pPr>
      <w:r>
        <w:t xml:space="preserve">The variance inflation factor for continuous predictor</w:t>
      </w:r>
      <w:r>
        <w:t xml:space="preserve"> </w:t>
      </w:r>
      <m:oMath>
        <m:r>
          <m:t>j</m:t>
        </m:r>
      </m:oMath>
      <w:r>
        <w:t xml:space="preserve"> </w:t>
      </w:r>
      <w:r>
        <w:t xml:space="preserve">is computed via an OLS proxy (the binary land-use term is excluded because VIF is undefined for a binary variable with no associated multicollinearity risk in an orthogonal design):</w:t>
      </w:r>
    </w:p>
    <w:p>
      <w:pPr>
        <w:pStyle w:val="Corpsdetexte"/>
      </w:pPr>
      <m:oMathPara>
        <m:oMathParaPr>
          <m:jc m:val="center"/>
        </m:oMathParaPr>
        <m:oMath>
          <m:sSub>
            <m:e>
              <m:r>
                <m:rPr>
                  <m:nor/>
                  <m:sty m:val="p"/>
                </m:rPr>
                <m:t>VIF</m:t>
              </m:r>
            </m:e>
            <m:sub>
              <m:r>
                <m:t>j</m:t>
              </m:r>
            </m:sub>
          </m:sSub>
          <m:r>
            <m:rPr>
              <m:sty m:val="p"/>
            </m:rPr>
            <m:t>=</m:t>
          </m:r>
          <m:f>
            <m:fPr>
              <m:type m:val="bar"/>
            </m:fPr>
            <m:num>
              <m:r>
                <m:t>1</m:t>
              </m:r>
            </m:num>
            <m:den>
              <m:r>
                <m:t>1</m:t>
              </m:r>
              <m:r>
                <m:rPr>
                  <m:sty m:val="p"/>
                </m:rPr>
                <m:t>−</m:t>
              </m:r>
              <m:sSubSup>
                <m:e>
                  <m:r>
                    <m:t>R</m:t>
                  </m:r>
                </m:e>
                <m:sub>
                  <m:r>
                    <m:t>j</m:t>
                  </m:r>
                </m:sub>
                <m:sup>
                  <m:r>
                    <m:t>2</m:t>
                  </m:r>
                </m:sup>
              </m:sSubSup>
            </m:den>
          </m:f>
        </m:oMath>
      </m:oMathPara>
    </w:p>
    <w:p>
      <w:pPr>
        <w:pStyle w:val="FirstParagraph"/>
      </w:pPr>
      <w:r>
        <w:t xml:space="preserve">where</w:t>
      </w:r>
      <w:r>
        <w:t xml:space="preserve"> </w:t>
      </w:r>
      <m:oMath>
        <m:sSubSup>
          <m:e>
            <m:r>
              <m:t>R</m:t>
            </m:r>
          </m:e>
          <m:sub>
            <m:r>
              <m:t>j</m:t>
            </m:r>
          </m:sub>
          <m:sup>
            <m:r>
              <m:t>2</m:t>
            </m:r>
          </m:sup>
        </m:sSubSup>
      </m:oMath>
      <w:r>
        <w:t xml:space="preserve"> </w:t>
      </w:r>
      <w:r>
        <w:t xml:space="preserve">is the coefficient of determination from regressing predictor</w:t>
      </w:r>
      <w:r>
        <w:t xml:space="preserve"> </w:t>
      </w:r>
      <m:oMath>
        <m:r>
          <m:t>j</m:t>
        </m:r>
      </m:oMath>
      <w:r>
        <w:t xml:space="preserve"> </w:t>
      </w:r>
      <w:r>
        <w:t xml:space="preserve">on all remaining continuous predictors.</w:t>
      </w:r>
    </w:p>
    <w:p>
      <w:pPr>
        <w:pStyle w:val="Corpsdetexte"/>
      </w:pPr>
      <w:r>
        <w:rPr>
          <w:b/>
          <w:bCs/>
        </w:rPr>
        <w:t xml:space="preserve">Criterion C3:</w:t>
      </w:r>
      <w:r>
        <w:t xml:space="preserve"> </w:t>
      </w:r>
      <m:oMath>
        <m:sSub>
          <m:e>
            <m:r>
              <m:rPr>
                <m:sty m:val="p"/>
              </m:rPr>
              <m:t>max</m:t>
            </m:r>
          </m:e>
          <m:sub>
            <m:r>
              <m:t>j</m:t>
            </m:r>
          </m:sub>
        </m:sSub>
        <m:sSub>
          <m:e>
            <m:r>
              <m:rPr>
                <m:nor/>
                <m:sty m:val="p"/>
              </m:rPr>
              <m:t>VIF</m:t>
            </m:r>
          </m:e>
          <m:sub>
            <m:r>
              <m:t>j</m:t>
            </m:r>
          </m:sub>
        </m:sSub>
        <m:r>
          <m:rPr>
            <m:sty m:val="p"/>
          </m:rPr>
          <m:t>&lt;</m:t>
        </m:r>
        <m:r>
          <m:t>5.0</m:t>
        </m:r>
      </m:oMath>
      <w:r>
        <w:t xml:space="preserve">. VIF exceeding 5 inflates the standard errors of individual path coefficients, making it impossible to distinguish genuine mediation from collinearity artefact.</w:t>
      </w:r>
    </w:p>
    <w:bookmarkEnd w:id="30"/>
    <w:bookmarkStart w:id="31" w:name="sec-joint"/>
    <w:p>
      <w:pPr>
        <w:pStyle w:val="Titre2"/>
      </w:pPr>
      <w:r>
        <w:t xml:space="preserve">Joint validity</w:t>
      </w:r>
    </w:p>
    <w:p>
      <w:pPr>
        <w:pStyle w:val="FirstParagraph"/>
      </w:pPr>
      <w:r>
        <w:t xml:space="preserve">A window</w:t>
      </w:r>
      <w:r>
        <w:t xml:space="preserve"> </w:t>
      </w:r>
      <m:oMath>
        <m:r>
          <m:t>w</m:t>
        </m:r>
      </m:oMath>
      <w:r>
        <w:t xml:space="preserve"> </w:t>
      </w:r>
      <w:r>
        <w:t xml:space="preserve">is diagnostically valid for equation</w:t>
      </w:r>
      <w:r>
        <w:t xml:space="preserve"> </w:t>
      </w:r>
      <m:oMath>
        <m:r>
          <m:t>e</m:t>
        </m:r>
      </m:oMath>
      <w:r>
        <w:t xml:space="preserve"> </w:t>
      </w:r>
      <w:r>
        <w:t xml:space="preserve">under configuration</w:t>
      </w:r>
      <w:r>
        <w:t xml:space="preserve"> </w:t>
      </w:r>
      <m:oMath>
        <m:r>
          <m:t>θ</m:t>
        </m:r>
      </m:oMath>
      <w:r>
        <w:t xml:space="preserve"> </w:t>
      </w:r>
      <w:r>
        <w:t xml:space="preserve">when all three criteria hold simultaneously:</w:t>
      </w:r>
    </w:p>
    <w:p>
      <w:pPr>
        <w:pStyle w:val="Corpsdetexte"/>
      </w:pPr>
      <m:oMathPara>
        <m:oMathParaPr>
          <m:jc m:val="center"/>
        </m:oMathParaPr>
        <m:oMath>
          <m:r>
            <m:rPr>
              <m:sty m:val="p"/>
              <m:scr m:val="script"/>
            </m:rPr>
            <m:t>V</m:t>
          </m:r>
          <m:d>
            <m:dPr>
              <m:begChr m:val="("/>
              <m:endChr m:val=")"/>
              <m:sepChr m:val=""/>
              <m:grow/>
            </m:dPr>
            <m:e>
              <m:r>
                <m:t>w</m:t>
              </m:r>
              <m:r>
                <m:rPr>
                  <m:sty m:val="p"/>
                </m:rPr>
                <m:t>,</m:t>
              </m:r>
              <m:r>
                <m:t>e</m:t>
              </m:r>
              <m:r>
                <m:rPr>
                  <m:sty m:val="p"/>
                </m:rPr>
                <m:t>,</m:t>
              </m:r>
              <m:r>
                <m:t>θ</m:t>
              </m:r>
            </m:e>
          </m:d>
          <m:r>
            <m:rPr>
              <m:sty m:val="p"/>
            </m:rPr>
            <m:t>=</m:t>
          </m:r>
          <m:sSub>
            <m:e>
              <m:r>
                <m:rPr>
                  <m:sty m:val="b"/>
                </m:rPr>
                <m:t>1</m:t>
              </m:r>
            </m:e>
            <m:sub>
              <m:d>
                <m:dPr>
                  <m:begChr m:val="["/>
                  <m:endChr m:val="]"/>
                  <m:sepChr m:val=""/>
                  <m:grow/>
                </m:dPr>
                <m:e>
                  <m:r>
                    <m:t>C</m:t>
                  </m:r>
                  <m:r>
                    <m:t>1</m:t>
                  </m:r>
                  <m:r>
                    <m:rPr>
                      <m:sty m:val="p"/>
                    </m:rPr>
                    <m:t>∩</m:t>
                  </m:r>
                  <m:r>
                    <m:t>C</m:t>
                  </m:r>
                  <m:r>
                    <m:t>2</m:t>
                  </m:r>
                  <m:r>
                    <m:rPr>
                      <m:sty m:val="p"/>
                    </m:rPr>
                    <m:t>∩</m:t>
                  </m:r>
                  <m:r>
                    <m:t>C</m:t>
                  </m:r>
                  <m:r>
                    <m:t>3</m:t>
                  </m:r>
                </m:e>
              </m:d>
            </m:sub>
          </m:sSub>
        </m:oMath>
      </m:oMathPara>
    </w:p>
    <w:p>
      <w:pPr>
        <w:pStyle w:val="FirstParagraph"/>
      </w:pPr>
      <w:r>
        <w:t xml:space="preserve">The proportion of valid windows for a given (equation, configuration) pair is:</w:t>
      </w:r>
    </w:p>
    <w:p>
      <w:pPr>
        <w:pStyle w:val="Corpsdetexte"/>
      </w:pPr>
      <m:oMathPara>
        <m:oMathParaPr>
          <m:jc m:val="center"/>
        </m:oMathParaPr>
        <m:oMath>
          <m:acc>
            <m:accPr>
              <m:chr m:val="̂"/>
            </m:accPr>
            <m:e>
              <m:r>
                <m:t>p</m:t>
              </m:r>
            </m:e>
          </m:acc>
          <m:d>
            <m:dPr>
              <m:begChr m:val="("/>
              <m:endChr m:val=")"/>
              <m:sepChr m:val=""/>
              <m:grow/>
            </m:dPr>
            <m:e>
              <m:r>
                <m:t>e</m:t>
              </m:r>
              <m:r>
                <m:rPr>
                  <m:sty m:val="p"/>
                </m:rPr>
                <m:t>,</m:t>
              </m:r>
              <m:r>
                <m:t>θ</m:t>
              </m:r>
            </m:e>
          </m:d>
          <m:r>
            <m:rPr>
              <m:sty m:val="p"/>
            </m:rPr>
            <m:t>=</m:t>
          </m:r>
          <m:f>
            <m:fPr>
              <m:type m:val="bar"/>
            </m:fPr>
            <m:num>
              <m:r>
                <m:t>1</m:t>
              </m:r>
            </m:num>
            <m:den>
              <m:d>
                <m:dPr>
                  <m:begChr m:val="|"/>
                  <m:endChr m:val="|"/>
                  <m:sepChr m:val=""/>
                  <m:grow/>
                </m:dPr>
                <m:e>
                  <m:r>
                    <m:rPr>
                      <m:sty m:val="p"/>
                      <m:scr m:val="script"/>
                    </m:rPr>
                    <m:t>W</m:t>
                  </m:r>
                </m:e>
              </m:d>
            </m:den>
          </m:f>
          <m:nary>
            <m:naryPr>
              <m:chr m:val="∑"/>
              <m:limLoc m:val="undOvr"/>
              <m:subHide m:val="off"/>
              <m:supHide m:val="on"/>
            </m:naryPr>
            <m:sub>
              <m:r>
                <m:t>w</m:t>
              </m:r>
              <m:r>
                <m:rPr>
                  <m:sty m:val="p"/>
                </m:rPr>
                <m:t>∈</m:t>
              </m:r>
              <m:r>
                <m:rPr>
                  <m:sty m:val="p"/>
                  <m:scr m:val="script"/>
                </m:rPr>
                <m:t>W</m:t>
              </m:r>
            </m:sub>
            <m:sup>
              <m:r>
                <m:t>​</m:t>
              </m:r>
            </m:sup>
            <m:e>
              <m:r>
                <m:rPr>
                  <m:sty m:val="p"/>
                  <m:scr m:val="script"/>
                </m:rPr>
                <m:t>V</m:t>
              </m:r>
            </m:e>
          </m:nary>
          <m:d>
            <m:dPr>
              <m:begChr m:val="("/>
              <m:endChr m:val=")"/>
              <m:sepChr m:val=""/>
              <m:grow/>
            </m:dPr>
            <m:e>
              <m:r>
                <m:t>w</m:t>
              </m:r>
              <m:r>
                <m:rPr>
                  <m:sty m:val="p"/>
                </m:rPr>
                <m:t>,</m:t>
              </m:r>
              <m:r>
                <m:t>e</m:t>
              </m:r>
              <m:r>
                <m:rPr>
                  <m:sty m:val="p"/>
                </m:rPr>
                <m:t>,</m:t>
              </m:r>
              <m:r>
                <m:t>θ</m:t>
              </m:r>
            </m:e>
          </m:d>
        </m:oMath>
      </m:oMathPara>
    </w:p>
    <w:p>
      <w:r>
        <w:pict>
          <v:rect style="width:0;height:1.5pt" o:hralign="center" o:hrstd="t" o:hr="t"/>
        </w:pict>
      </w:r>
    </w:p>
    <w:bookmarkEnd w:id="31"/>
    <w:bookmarkEnd w:id="32"/>
    <w:bookmarkStart w:id="36" w:name="sec-selection"/>
    <w:p>
      <w:pPr>
        <w:pStyle w:val="Titre1"/>
      </w:pPr>
      <w:r>
        <w:t xml:space="preserve">Configuration selection</w:t>
      </w:r>
    </w:p>
    <w:p>
      <w:pPr>
        <w:pStyle w:val="FirstParagraph"/>
      </w:pPr>
      <w:r>
        <w:t xml:space="preserve">The optimal configuration is chosen by a two-step procedure that avoids privileging one equation at the expense of another.</w:t>
      </w:r>
    </w:p>
    <w:bookmarkStart w:id="33" w:name="sec-step1"/>
    <w:p>
      <w:pPr>
        <w:pStyle w:val="Titre2"/>
      </w:pPr>
      <w:r>
        <w:t xml:space="preserve">Step 1 — Best transformation per equation</w:t>
      </w:r>
    </w:p>
    <w:p>
      <w:pPr>
        <w:pStyle w:val="FirstParagraph"/>
      </w:pPr>
      <w:r>
        <w:t xml:space="preserve">For each response variable</w:t>
      </w:r>
      <w:r>
        <w:t xml:space="preserve"> </w:t>
      </w:r>
      <m:oMath>
        <m:r>
          <m:t>e</m:t>
        </m:r>
      </m:oMath>
      <w:r>
        <w:t xml:space="preserve"> </w:t>
      </w:r>
      <w:r>
        <w:t xml:space="preserve">and each</w:t>
      </w:r>
      <w:r>
        <w:t xml:space="preserve"> </w:t>
      </w:r>
      <m:oMath>
        <m:d>
          <m:dPr>
            <m:begChr m:val="("/>
            <m:endChr m:val=")"/>
            <m:sepChr m:val=""/>
            <m:grow/>
          </m:dPr>
          <m:e>
            <m:r>
              <m:t>W</m:t>
            </m:r>
            <m:r>
              <m:rPr>
                <m:sty m:val="p"/>
              </m:rPr>
              <m:t>,</m:t>
            </m:r>
            <m:sSub>
              <m:e>
                <m:r>
                  <m:t>C</m:t>
                </m:r>
              </m:e>
              <m:sub>
                <m:r>
                  <m:rPr>
                    <m:sty m:val="p"/>
                  </m:rPr>
                  <m:t>min</m:t>
                </m:r>
              </m:sub>
            </m:sSub>
          </m:e>
        </m:d>
      </m:oMath>
      <w:r>
        <w:t xml:space="preserve"> </w:t>
      </w:r>
      <w:r>
        <w:t xml:space="preserve">pair, the transformation</w:t>
      </w:r>
      <w:r>
        <w:t xml:space="preserve"> </w:t>
      </w:r>
      <m:oMath>
        <m:sSup>
          <m:e>
            <m:r>
              <m:t>f</m:t>
            </m:r>
          </m:e>
          <m:sup>
            <m:r>
              <m:rPr>
                <m:sty m:val="p"/>
              </m:rPr>
              <m:t>*</m:t>
            </m:r>
          </m:sup>
        </m:sSup>
      </m:oMath>
      <w:r>
        <w:t xml:space="preserve"> </w:t>
      </w:r>
      <w:r>
        <w:t xml:space="preserve">maximising the product of diagnostic validity and explanatory power is selected:</w:t>
      </w:r>
    </w:p>
    <w:p>
      <w:pPr>
        <w:pStyle w:val="Corpsdetexte"/>
      </w:pPr>
      <m:oMathPara>
        <m:oMathParaPr>
          <m:jc m:val="center"/>
        </m:oMathParaPr>
        <m:oMath>
          <m:sSup>
            <m:e>
              <m:r>
                <m:t>f</m:t>
              </m:r>
            </m:e>
            <m:sup>
              <m:r>
                <m:rPr>
                  <m:sty m:val="p"/>
                </m:rPr>
                <m:t>*</m:t>
              </m:r>
            </m:sup>
          </m:sSup>
          <m:d>
            <m:dPr>
              <m:begChr m:val="("/>
              <m:endChr m:val=")"/>
              <m:sepChr m:val=""/>
              <m:grow/>
            </m:dPr>
            <m:e>
              <m:r>
                <m:t>e</m:t>
              </m:r>
              <m:r>
                <m:rPr>
                  <m:sty m:val="p"/>
                </m:rPr>
                <m:t>,</m:t>
              </m:r>
              <m:r>
                <m:t>W</m:t>
              </m:r>
              <m:r>
                <m:rPr>
                  <m:sty m:val="p"/>
                </m:rPr>
                <m:t>,</m:t>
              </m:r>
              <m:sSub>
                <m:e>
                  <m:r>
                    <m:t>C</m:t>
                  </m:r>
                </m:e>
                <m:sub>
                  <m:r>
                    <m:rPr>
                      <m:sty m:val="p"/>
                    </m:rPr>
                    <m:t>min</m:t>
                  </m:r>
                </m:sub>
              </m:sSub>
            </m:e>
          </m:d>
          <m:r>
            <m:rPr>
              <m:sty m:val="p"/>
            </m:rPr>
            <m:t>=</m:t>
          </m:r>
          <m:limLow>
            <m:e>
              <m:r>
                <m:rPr>
                  <m:sty m:val="p"/>
                </m:rPr>
                <m:t>arg</m:t>
              </m:r>
              <m:r>
                <m:rPr>
                  <m:sty m:val="p"/>
                </m:rPr>
                <m:t>max</m:t>
              </m:r>
            </m:e>
            <m:lim>
              <m:r>
                <m:t>f</m:t>
              </m:r>
            </m:lim>
          </m:limLow>
          <m:r>
            <m:t> </m:t>
          </m:r>
          <m:acc>
            <m:accPr>
              <m:chr m:val="̂"/>
            </m:accPr>
            <m:e>
              <m:r>
                <m:t>p</m:t>
              </m:r>
            </m:e>
          </m:acc>
          <m:d>
            <m:dPr>
              <m:begChr m:val="("/>
              <m:endChr m:val=")"/>
              <m:sepChr m:val=""/>
              <m:grow/>
            </m:dPr>
            <m:e>
              <m:r>
                <m:t>e</m:t>
              </m:r>
              <m:r>
                <m:rPr>
                  <m:sty m:val="p"/>
                </m:rPr>
                <m:t>,</m:t>
              </m:r>
              <m:r>
                <m:t>θ</m:t>
              </m:r>
            </m:e>
          </m:d>
          <m:r>
            <m:rPr>
              <m:sty m:val="p"/>
            </m:rPr>
            <m:t>×</m:t>
          </m:r>
          <m:bar>
            <m:barPr>
              <m:pos m:val="top"/>
            </m:barPr>
            <m:e>
              <m:sSubSup>
                <m:e>
                  <m:r>
                    <m:t>R</m:t>
                  </m:r>
                </m:e>
                <m:sub>
                  <m:r>
                    <m:t>m</m:t>
                  </m:r>
                </m:sub>
                <m:sup>
                  <m:r>
                    <m:t>2</m:t>
                  </m:r>
                </m:sup>
              </m:sSubSup>
            </m:e>
          </m:bar>
          <m:d>
            <m:dPr>
              <m:begChr m:val="("/>
              <m:endChr m:val=")"/>
              <m:sepChr m:val=""/>
              <m:grow/>
            </m:dPr>
            <m:e>
              <m:r>
                <m:t>e</m:t>
              </m:r>
              <m:r>
                <m:rPr>
                  <m:sty m:val="p"/>
                </m:rPr>
                <m:t>,</m:t>
              </m:r>
              <m:r>
                <m:t>θ</m:t>
              </m:r>
            </m:e>
          </m:d>
        </m:oMath>
      </m:oMathPara>
    </w:p>
    <w:p>
      <w:pPr>
        <w:pStyle w:val="FirstParagraph"/>
      </w:pPr>
      <w:r>
        <w:t xml:space="preserve">where</w:t>
      </w:r>
      <w:r>
        <w:t xml:space="preserve"> </w:t>
      </w:r>
      <m:oMath>
        <m:bar>
          <m:barPr>
            <m:pos m:val="top"/>
          </m:barPr>
          <m:e>
            <m:sSubSup>
              <m:e>
                <m:r>
                  <m:t>R</m:t>
                </m:r>
              </m:e>
              <m:sub>
                <m:r>
                  <m:t>m</m:t>
                </m:r>
              </m:sub>
              <m:sup>
                <m:r>
                  <m:t>2</m:t>
                </m:r>
              </m:sup>
            </m:sSubSup>
          </m:e>
        </m:bar>
      </m:oMath>
      <w:r>
        <w:t xml:space="preserve"> </w:t>
      </w:r>
      <w:r>
        <w:t xml:space="preserve">is the mean marginal</w:t>
      </w:r>
      <w:r>
        <w:t xml:space="preserve"> </w:t>
      </w:r>
      <m:oMath>
        <m:sSup>
          <m:e>
            <m:r>
              <m:t>R</m:t>
            </m:r>
          </m:e>
          <m:sup>
            <m:r>
              <m:t>2</m:t>
            </m:r>
          </m:sup>
        </m:sSup>
      </m:oMath>
      <w:r>
        <w:t xml:space="preserve"> </w:t>
      </w:r>
      <w:r>
        <w:t xml:space="preserve">(variance explained by fixed effects only) across the sampled windows. This product rewards configurations that are both residually adequate</w:t>
      </w:r>
      <w:r>
        <w:t xml:space="preserve"> </w:t>
      </w:r>
      <w:r>
        <w:rPr>
          <w:b/>
          <w:bCs/>
        </w:rPr>
        <w:t xml:space="preserve">and</w:t>
      </w:r>
      <w:r>
        <w:t xml:space="preserve"> </w:t>
      </w:r>
      <w:r>
        <w:t xml:space="preserve">ecologically informative; a transformation that passes all diagnostics but explains nothing would score near zero.</w:t>
      </w:r>
    </w:p>
    <w:bookmarkEnd w:id="33"/>
    <w:bookmarkStart w:id="34" w:name="sec-step2"/>
    <w:p>
      <w:pPr>
        <w:pStyle w:val="Titre2"/>
      </w:pPr>
      <w:r>
        <w:t xml:space="preserve">Step 2 — Joint</w:t>
      </w:r>
      <w:r>
        <w:t xml:space="preserve"> </w:t>
      </w:r>
      <m:oMath>
        <m:d>
          <m:dPr>
            <m:begChr m:val="("/>
            <m:endChr m:val=")"/>
            <m:sepChr m:val=""/>
            <m:grow/>
          </m:dPr>
          <m:e>
            <m:r>
              <m:t>W</m:t>
            </m:r>
            <m:r>
              <m:rPr>
                <m:sty m:val="p"/>
              </m:rPr>
              <m:t>,</m:t>
            </m:r>
            <m:sSub>
              <m:e>
                <m:r>
                  <m:t>C</m:t>
                </m:r>
              </m:e>
              <m:sub>
                <m:r>
                  <m:rPr>
                    <m:sty m:val="p"/>
                  </m:rPr>
                  <m:t>min</m:t>
                </m:r>
              </m:sub>
            </m:sSub>
          </m:e>
        </m:d>
      </m:oMath>
      <w:r>
        <w:t xml:space="preserve"> </w:t>
      </w:r>
      <w:r>
        <w:t xml:space="preserve">selection across biological responses</w:t>
      </w:r>
    </w:p>
    <w:p>
      <w:pPr>
        <w:pStyle w:val="FirstParagraph"/>
      </w:pPr>
      <w:r>
        <w:t xml:space="preserve">Among the 12</w:t>
      </w:r>
      <w:r>
        <w:t xml:space="preserve"> </w:t>
      </w:r>
      <m:oMath>
        <m:d>
          <m:dPr>
            <m:begChr m:val="("/>
            <m:endChr m:val=")"/>
            <m:sepChr m:val=""/>
            <m:grow/>
          </m:dPr>
          <m:e>
            <m:r>
              <m:t>W</m:t>
            </m:r>
            <m:r>
              <m:rPr>
                <m:sty m:val="p"/>
              </m:rPr>
              <m:t>,</m:t>
            </m:r>
            <m:sSub>
              <m:e>
                <m:r>
                  <m:t>C</m:t>
                </m:r>
              </m:e>
              <m:sub>
                <m:r>
                  <m:rPr>
                    <m:sty m:val="p"/>
                  </m:rPr>
                  <m:t>min</m:t>
                </m:r>
              </m:sub>
            </m:sSub>
          </m:e>
        </m:d>
      </m:oMath>
      <w:r>
        <w:t xml:space="preserve"> </w:t>
      </w:r>
      <w:r>
        <w:t xml:space="preserve">combinations, the pair maximising the joint score</w:t>
      </w:r>
    </w:p>
    <w:p>
      <w:pPr>
        <w:pStyle w:val="Corpsdetexte"/>
      </w:pPr>
      <m:oMathPara>
        <m:oMathParaPr>
          <m:jc m:val="center"/>
        </m:oMathParaPr>
        <m:oMath>
          <m:r>
            <m:rPr>
              <m:nor/>
              <m:sty m:val="p"/>
            </m:rPr>
            <m:t>score</m:t>
          </m:r>
          <m:d>
            <m:dPr>
              <m:begChr m:val="("/>
              <m:endChr m:val=")"/>
              <m:sepChr m:val=""/>
              <m:grow/>
            </m:dPr>
            <m:e>
              <m:r>
                <m:t>W</m:t>
              </m:r>
              <m:r>
                <m:rPr>
                  <m:sty m:val="p"/>
                </m:rPr>
                <m:t>,</m:t>
              </m:r>
              <m:sSub>
                <m:e>
                  <m:r>
                    <m:t>C</m:t>
                  </m:r>
                </m:e>
                <m:sub>
                  <m:r>
                    <m:rPr>
                      <m:sty m:val="p"/>
                    </m:rPr>
                    <m:t>min</m:t>
                  </m:r>
                </m:sub>
              </m:sSub>
            </m:e>
          </m:d>
          <m:r>
            <m:rPr>
              <m:sty m:val="p"/>
            </m:rPr>
            <m:t>=</m:t>
          </m:r>
          <m:limLow>
            <m:e>
              <m:r>
                <m:rPr>
                  <m:sty m:val="p"/>
                </m:rPr>
                <m:t>min</m:t>
              </m:r>
            </m:e>
            <m:lim>
              <m:r>
                <m:t>e</m:t>
              </m:r>
              <m:r>
                <m:rPr>
                  <m:sty m:val="p"/>
                </m:rPr>
                <m:t>∈</m:t>
              </m:r>
              <m:r>
                <m:rPr>
                  <m:sty m:val="p"/>
                </m:rPr>
                <m:t>{</m:t>
              </m:r>
              <m:r>
                <m:rPr>
                  <m:nor/>
                  <m:sty m:val="p"/>
                </m:rPr>
                <m:t>root</m:t>
              </m:r>
              <m:r>
                <m:rPr>
                  <m:sty m:val="p"/>
                </m:rPr>
                <m:t>,</m:t>
              </m:r>
              <m:r>
                <m:t> </m:t>
              </m:r>
              <m:r>
                <m:rPr>
                  <m:nor/>
                  <m:sty m:val="p"/>
                </m:rPr>
                <m:t>fauna</m:t>
              </m:r>
              <m:r>
                <m:rPr>
                  <m:sty m:val="p"/>
                </m:rPr>
                <m:t>}</m:t>
              </m:r>
            </m:lim>
          </m:limLow>
          <m:acc>
            <m:accPr>
              <m:chr m:val="̂"/>
            </m:accPr>
            <m:e>
              <m:r>
                <m:t>p</m:t>
              </m:r>
            </m:e>
          </m:acc>
          <m:d>
            <m:dPr>
              <m:begChr m:val="("/>
              <m:endChr m:val=")"/>
              <m:sepChr m:val=""/>
              <m:grow/>
            </m:dPr>
            <m:e>
              <m:r>
                <m:t>e</m:t>
              </m:r>
              <m:r>
                <m:rPr>
                  <m:sty m:val="p"/>
                </m:rPr>
                <m:t>,</m:t>
              </m:r>
              <m:sSup>
                <m:e>
                  <m:r>
                    <m:t>θ</m:t>
                  </m:r>
                </m:e>
                <m:sup>
                  <m:r>
                    <m:rPr>
                      <m:sty m:val="p"/>
                    </m:rPr>
                    <m:t>*</m:t>
                  </m:r>
                </m:sup>
              </m:sSup>
            </m:e>
          </m:d>
          <m:r>
            <m:rPr>
              <m:sty m:val="p"/>
            </m:rPr>
            <m:t>×</m:t>
          </m:r>
          <m:bar>
            <m:barPr>
              <m:pos m:val="top"/>
            </m:barPr>
            <m:e>
              <m:sSubSup>
                <m:e>
                  <m:r>
                    <m:t>R</m:t>
                  </m:r>
                </m:e>
                <m:sub>
                  <m:r>
                    <m:t>m</m:t>
                  </m:r>
                </m:sub>
                <m:sup>
                  <m:r>
                    <m:t>2</m:t>
                  </m:r>
                </m:sup>
              </m:sSubSup>
            </m:e>
          </m:bar>
          <m:d>
            <m:dPr>
              <m:begChr m:val="("/>
              <m:endChr m:val=")"/>
              <m:sepChr m:val=""/>
              <m:grow/>
            </m:dPr>
            <m:e>
              <m:r>
                <m:t>W</m:t>
              </m:r>
              <m:r>
                <m:rPr>
                  <m:sty m:val="p"/>
                </m:rPr>
                <m:t>,</m:t>
              </m:r>
              <m:sSub>
                <m:e>
                  <m:r>
                    <m:t>C</m:t>
                  </m:r>
                </m:e>
                <m:sub>
                  <m:r>
                    <m:rPr>
                      <m:sty m:val="p"/>
                    </m:rPr>
                    <m:t>min</m:t>
                  </m:r>
                </m:sub>
              </m:sSub>
            </m:e>
          </m:d>
        </m:oMath>
      </m:oMathPara>
    </w:p>
    <w:p>
      <w:pPr>
        <w:pStyle w:val="FirstParagraph"/>
      </w:pPr>
      <w:r>
        <w:t xml:space="preserve">is retained, where</w:t>
      </w:r>
      <w:r>
        <w:t xml:space="preserve"> </w:t>
      </w:r>
      <m:oMath>
        <m:sSup>
          <m:e>
            <m:r>
              <m:t>θ</m:t>
            </m:r>
          </m:e>
          <m:sup>
            <m:r>
              <m:rPr>
                <m:sty m:val="p"/>
              </m:rPr>
              <m:t>*</m:t>
            </m:r>
          </m:sup>
        </m:sSup>
        <m:r>
          <m:rPr>
            <m:sty m:val="p"/>
          </m:rPr>
          <m:t>=</m:t>
        </m:r>
        <m:d>
          <m:dPr>
            <m:begChr m:val="("/>
            <m:endChr m:val=")"/>
            <m:sepChr m:val=""/>
            <m:grow/>
          </m:dPr>
          <m:e>
            <m:r>
              <m:t>W</m:t>
            </m:r>
            <m:r>
              <m:rPr>
                <m:sty m:val="p"/>
              </m:rPr>
              <m:t>,</m:t>
            </m:r>
            <m:sSub>
              <m:e>
                <m:r>
                  <m:t>C</m:t>
                </m:r>
              </m:e>
              <m:sub>
                <m:r>
                  <m:rPr>
                    <m:sty m:val="p"/>
                  </m:rPr>
                  <m:t>min</m:t>
                </m:r>
              </m:sub>
            </m:sSub>
            <m:r>
              <m:rPr>
                <m:sty m:val="p"/>
              </m:rPr>
              <m:t>,</m:t>
            </m:r>
            <m:sSup>
              <m:e>
                <m:r>
                  <m:t>f</m:t>
                </m:r>
              </m:e>
              <m:sup>
                <m:r>
                  <m:rPr>
                    <m:sty m:val="p"/>
                  </m:rPr>
                  <m:t>*</m:t>
                </m:r>
              </m:sup>
            </m:sSup>
          </m:e>
        </m:d>
      </m:oMath>
      <w:r>
        <w:t xml:space="preserve"> </w:t>
      </w:r>
      <w:r>
        <w:t xml:space="preserve">uses the equation-specific optimal transformation from Step 1.</w:t>
      </w:r>
    </w:p>
    <w:p>
      <w:pPr>
        <w:pStyle w:val="Corpsdetexte"/>
      </w:pPr>
      <w:r>
        <w:t xml:space="preserve">Using the</w:t>
      </w:r>
      <w:r>
        <w:t xml:space="preserve"> </w:t>
      </w:r>
      <w:r>
        <w:rPr>
          <w:b/>
          <w:bCs/>
        </w:rPr>
        <w:t xml:space="preserve">minimum</w:t>
      </w:r>
      <w:r>
        <w:t xml:space="preserve"> </w:t>
      </w:r>
      <w:r>
        <w:t xml:space="preserve">across biological responses as the validity term (rather than the mean) is deliberate: a configuration that works well for fauna but produces heteroscedastic root residuals would receive a low score, preventing one response from masking the other’s poor fit. Microclimate equations are excluded from Step 2 because their simpler structure (single predictor, depth-only grouping) makes them diagnostically robust across nearly all configurations.</w:t>
      </w:r>
    </w:p>
    <w:bookmarkEnd w:id="34"/>
    <w:bookmarkStart w:id="35" w:name="sec-retention"/>
    <w:p>
      <w:pPr>
        <w:pStyle w:val="Titre2"/>
      </w:pPr>
      <w:r>
        <w:t xml:space="preserve">Window retention for the full SEM</w:t>
      </w:r>
    </w:p>
    <w:p>
      <w:pPr>
        <w:pStyle w:val="FirstParagraph"/>
      </w:pPr>
      <w:r>
        <w:t xml:space="preserve">Using the calibrated configuration, every window in the full time series is evaluated and those in which fewer than</w:t>
      </w:r>
      <w:r>
        <w:t xml:space="preserve"> </w:t>
      </w:r>
      <w:r>
        <w:rPr>
          <w:b/>
          <w:bCs/>
        </w:rPr>
        <w:t xml:space="preserve">50 % of equations</w:t>
      </w:r>
      <w:r>
        <w:t xml:space="preserve"> </w:t>
      </w:r>
      <w:r>
        <w:t xml:space="preserve">pass all diagnostic thresholds are excluded from Script S3. This retains periods of genuine ecological signal while discarding brief intervals (e.g. extreme weather events, sensor artefacts) where the model structure is locally misspecified.</w:t>
      </w:r>
    </w:p>
    <w:p>
      <w:r>
        <w:pict>
          <v:rect style="width:0;height:1.5pt" o:hralign="center" o:hrstd="t" o:hr="t"/>
        </w:pict>
      </w:r>
    </w:p>
    <w:bookmarkEnd w:id="35"/>
    <w:bookmarkEnd w:id="36"/>
    <w:bookmarkStart w:id="45" w:name="implementation"/>
    <w:p>
      <w:pPr>
        <w:pStyle w:val="Titre1"/>
      </w:pPr>
      <w:r>
        <w:t xml:space="preserve">Implementation</w:t>
      </w:r>
    </w:p>
    <w:bookmarkStart w:id="37" w:name="setup"/>
    <w:p>
      <w:pPr>
        <w:pStyle w:val="Titre2"/>
      </w:pPr>
      <w:r>
        <w:t xml:space="preserve">Setup</w:t>
      </w:r>
    </w:p>
    <w:bookmarkEnd w:id="37"/>
    <w:bookmarkStart w:id="43" w:name="helper-functions"/>
    <w:p>
      <w:pPr>
        <w:pStyle w:val="Titre2"/>
      </w:pPr>
      <w:r>
        <w:t xml:space="preserve">Helper functions</w:t>
      </w:r>
    </w:p>
    <w:bookmarkStart w:id="38" w:name="rolling-window-splitter"/>
    <w:p>
      <w:pPr>
        <w:pStyle w:val="Titre3"/>
      </w:pPr>
      <w:r>
        <w:t xml:space="preserve">Rolling window splitter</w:t>
      </w:r>
    </w:p>
    <w:bookmarkEnd w:id="38"/>
    <w:bookmarkStart w:id="39" w:name="transformation-functions"/>
    <w:p>
      <w:pPr>
        <w:pStyle w:val="Titre3"/>
      </w:pPr>
      <w:r>
        <w:t xml:space="preserve">Transformation functions</w:t>
      </w:r>
    </w:p>
    <w:p>
      <w:pPr>
        <w:pStyle w:val="FirstParagraph"/>
      </w:pPr>
      <w:r>
        <w:t xml:space="preserve">The five candidate transformations described in Section 2.3 (Eqs S2.1–S2.3):</w:t>
      </w:r>
    </w:p>
    <w:bookmarkEnd w:id="39"/>
    <w:bookmarkStart w:id="40" w:name="marginal-and-conditional-r²-for-nlmelme"/>
    <w:p>
      <w:pPr>
        <w:pStyle w:val="Titre3"/>
      </w:pPr>
      <w:r>
        <w:t xml:space="preserve">Marginal and conditional R² for nlme::lme</w:t>
      </w:r>
    </w:p>
    <w:bookmarkEnd w:id="40"/>
    <w:bookmarkStart w:id="41" w:name="independent-lme-fitting-eqs-s1.1s1.4"/>
    <w:p>
      <w:pPr>
        <w:pStyle w:val="Titre3"/>
      </w:pPr>
      <w:r>
        <w:t xml:space="preserve">Independent LME fitting (Eqs S1.1–S1.4)</w:t>
      </w:r>
    </w:p>
    <w:bookmarkEnd w:id="41"/>
    <w:bookmarkStart w:id="42" w:name="main-diagnostic-pipeline"/>
    <w:p>
      <w:pPr>
        <w:pStyle w:val="Titre3"/>
      </w:pPr>
      <w:r>
        <w:t xml:space="preserve">Main diagnostic pipeline</w:t>
      </w:r>
    </w:p>
    <w:bookmarkEnd w:id="42"/>
    <w:bookmarkEnd w:id="43"/>
    <w:bookmarkStart w:id="44" w:name="sensitivity-grid-and-execution"/>
    <w:p>
      <w:pPr>
        <w:pStyle w:val="Titre2"/>
      </w:pPr>
      <w:r>
        <w:t xml:space="preserve">Sensitivity grid and execution</w:t>
      </w:r>
    </w:p>
    <w:p>
      <w:r>
        <w:pict>
          <v:rect style="width:0;height:1.5pt" o:hralign="center" o:hrstd="t" o:hr="t"/>
        </w:pict>
      </w:r>
    </w:p>
    <w:bookmarkEnd w:id="44"/>
    <w:bookmarkEnd w:id="45"/>
    <w:bookmarkStart w:id="76" w:name="results"/>
    <w:p>
      <w:pPr>
        <w:pStyle w:val="Titre1"/>
      </w:pPr>
      <w:r>
        <w:t xml:space="preserve">Results</w:t>
      </w:r>
    </w:p>
    <w:bookmarkStart w:id="47" w:name="sec-optim"/>
    <w:p>
      <w:pPr>
        <w:pStyle w:val="Titre2"/>
      </w:pPr>
      <w:r>
        <w:t xml:space="preserve">Global optimisation</w:t>
      </w:r>
    </w:p>
    <w:p>
      <w:pPr>
        <w:pStyle w:val="FirstParagraph"/>
      </w:pPr>
      <w:r>
        <w:t xml:space="preserve">The two-step selection procedure (Eqs S3.6–S3.7) identifies the optimal (window, completeness, transformation) combination.</w:t>
      </w:r>
    </w:p>
    <w:tbl>
      <w:tblPr>
        <w:tblStyle w:val="Table"/>
        <w:tblW w:type="pct" w:w="5000"/>
        <w:tblLayout w:type="fixed"/>
        <w:tblLook w:firstRow="0" w:lastRow="0" w:firstColumn="0" w:lastColumn="0" w:noHBand="0" w:noVBand="0" w:val="0000"/>
      </w:tblPr>
      <w:tblGrid>
        <w:gridCol w:w="7920"/>
      </w:tblGrid>
      <w:tr>
        <w:tc>
          <w:tcPr/>
          <w:bookmarkStart w:id="46" w:name="tbl-global-optimization"/>
          <w:p>
            <w:pPr>
              <w:jc w:val="center"/>
            </w:pPr>
            <w:pPr>
              <w:jc w:val="start"/>
              <w:spacing w:before="200"/>
              <w:pStyle w:val="ImageCaption"/>
            </w:pPr>
            <w:r>
              <w:t xml:space="preserve">Table 1: Top 5 configurations ranked by joint validity then mean R²m. Highlighted row = selected configuration.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60" w:hRule="auto"/>
                <w:tblHeader/>
              </w:trPr>
              <w:tc>
                <w:tcPr>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Window (days)</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Max missing data</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Transfo root</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Transfo fauna</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Transfo mc1</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Transfo mc2</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Validity (joint min.)</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R²m (mean)</w:t>
                  </w:r>
                </w:p>
              </w:tc>
              <w:tc>
                <w:tcPr>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Score</w:t>
                  </w:r>
                </w:p>
              </w:tc>
            </w:tr>
            <w:tr>
              <w:trPr>
                <w:cantSplit/>
                <w:trHeight w:val="360" w:hRule="auto"/>
              </w:trPr>
              <w:tc>
                <w:tcPr>
                  <w:tcBorders>
                    <w:bottom w:val="single" w:sz="4" w:space="0" w:color="999999"/>
                    <w:top w:val="single" w:sz="8" w:space="0" w:color="000000"/>
                    <w:left w:val="single" w:sz="8" w:space="0" w:color="000000"/>
                    <w:right w:val="single" w:sz="4" w:space="0" w:color="999999"/>
                  </w:tcBorders>
                  <w:shd w:val="clear" w:color="auto" w:fill="FEC28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10</w:t>
                  </w:r>
                </w:p>
              </w:tc>
              <w:tc>
                <w:tcPr>
                  <w:tcBorders>
                    <w:bottom w:val="single" w:sz="4" w:space="0" w:color="999999"/>
                    <w:top w:val="single" w:sz="8" w:space="0" w:color="000000"/>
                    <w:left w:val="single" w:sz="4" w:space="0" w:color="999999"/>
                    <w:right w:val="single" w:sz="4" w:space="0" w:color="999999"/>
                  </w:tcBorders>
                  <w:shd w:val="clear" w:color="auto" w:fill="FEC28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0.1</w:t>
                  </w:r>
                </w:p>
              </w:tc>
              <w:tc>
                <w:tcPr>
                  <w:tcBorders>
                    <w:bottom w:val="single" w:sz="4" w:space="0" w:color="999999"/>
                    <w:top w:val="single" w:sz="8" w:space="0" w:color="000000"/>
                    <w:left w:val="single" w:sz="4" w:space="0" w:color="999999"/>
                    <w:right w:val="single" w:sz="4" w:space="0" w:color="999999"/>
                  </w:tcBorders>
                  <w:shd w:val="clear" w:color="auto" w:fill="FEC28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sqrt_plus_one</w:t>
                  </w:r>
                </w:p>
              </w:tc>
              <w:tc>
                <w:tcPr>
                  <w:tcBorders>
                    <w:bottom w:val="single" w:sz="4" w:space="0" w:color="999999"/>
                    <w:top w:val="single" w:sz="8" w:space="0" w:color="000000"/>
                    <w:left w:val="single" w:sz="4" w:space="0" w:color="999999"/>
                    <w:right w:val="single" w:sz="4" w:space="0" w:color="999999"/>
                  </w:tcBorders>
                  <w:shd w:val="clear" w:color="auto" w:fill="FEC28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hellinger</w:t>
                  </w:r>
                </w:p>
              </w:tc>
              <w:tc>
                <w:tcPr>
                  <w:tcBorders>
                    <w:bottom w:val="single" w:sz="4" w:space="0" w:color="999999"/>
                    <w:top w:val="single" w:sz="8" w:space="0" w:color="000000"/>
                    <w:left w:val="single" w:sz="4" w:space="0" w:color="999999"/>
                    <w:right w:val="single" w:sz="4" w:space="0" w:color="999999"/>
                  </w:tcBorders>
                  <w:shd w:val="clear" w:color="auto" w:fill="FEC28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none</w:t>
                  </w:r>
                </w:p>
              </w:tc>
              <w:tc>
                <w:tcPr>
                  <w:tcBorders>
                    <w:bottom w:val="single" w:sz="4" w:space="0" w:color="999999"/>
                    <w:top w:val="single" w:sz="8" w:space="0" w:color="000000"/>
                    <w:left w:val="single" w:sz="4" w:space="0" w:color="999999"/>
                    <w:right w:val="single" w:sz="4" w:space="0" w:color="999999"/>
                  </w:tcBorders>
                  <w:shd w:val="clear" w:color="auto" w:fill="FEC28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hellinger</w:t>
                  </w:r>
                </w:p>
              </w:tc>
              <w:tc>
                <w:tcPr>
                  <w:tcBorders>
                    <w:bottom w:val="single" w:sz="4" w:space="0" w:color="999999"/>
                    <w:top w:val="single" w:sz="8" w:space="0" w:color="000000"/>
                    <w:left w:val="single" w:sz="4" w:space="0" w:color="999999"/>
                    <w:right w:val="single" w:sz="4" w:space="0" w:color="999999"/>
                  </w:tcBorders>
                  <w:shd w:val="clear" w:color="auto" w:fill="FEC28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0.750</w:t>
                  </w:r>
                </w:p>
              </w:tc>
              <w:tc>
                <w:tcPr>
                  <w:tcBorders>
                    <w:bottom w:val="single" w:sz="4" w:space="0" w:color="999999"/>
                    <w:top w:val="single" w:sz="8" w:space="0" w:color="000000"/>
                    <w:left w:val="single" w:sz="4" w:space="0" w:color="999999"/>
                    <w:right w:val="single" w:sz="4" w:space="0" w:color="999999"/>
                  </w:tcBorders>
                  <w:shd w:val="clear" w:color="auto" w:fill="FEC28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0.462</w:t>
                  </w:r>
                </w:p>
              </w:tc>
              <w:tc>
                <w:tcPr>
                  <w:tcBorders>
                    <w:bottom w:val="single" w:sz="4" w:space="0" w:color="999999"/>
                    <w:top w:val="single" w:sz="8" w:space="0" w:color="000000"/>
                    <w:left w:val="single" w:sz="4" w:space="0" w:color="999999"/>
                    <w:right w:val="single" w:sz="8" w:space="0" w:color="000000"/>
                  </w:tcBorders>
                  <w:shd w:val="clear" w:color="auto" w:fill="FEC28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0.347</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0.2</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hellinger</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hellinger</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log</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log</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0.600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0.468</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0.281</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30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0.2</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none</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sqrt_plus_one</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sqrt_plus_one</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hellinger</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0.600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0.380</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0.228</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0.3</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sqrt_plus_one</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log</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hellinger</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none</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0.600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0.360</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0.216</w:t>
                  </w:r>
                </w:p>
              </w:tc>
            </w:tr>
            <w:tr>
              <w:trPr>
                <w:cantSplit/>
                <w:trHeight w:val="360" w:hRule="auto"/>
              </w:trPr>
              <w:tc>
                <w:tcPr>
                  <w:tcBorders>
                    <w:bottom w:val="single" w:sz="8" w:space="0" w:color="000000"/>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14</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0.1</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sqrt_plus_one</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sqrt_plus_one</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sqrt_plus_one</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sqrt_plus_one</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0.500</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0.335</w:t>
                  </w:r>
                </w:p>
              </w:tc>
              <w:tc>
                <w:tcPr>
                  <w:tcBorders>
                    <w:bottom w:val="single" w:sz="8" w:space="0" w:color="000000"/>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0.168</w:t>
                  </w:r>
                </w:p>
              </w:tc>
            </w:tr>
          </w:tbl>
          <w:bookmarkEnd w:id="46"/>
        </w:tc>
      </w:tr>
    </w:tbl>
    <w:bookmarkEnd w:id="47"/>
    <w:bookmarkStart w:id="53" w:name="sec-per-eq"/>
    <w:p>
      <w:pPr>
        <w:pStyle w:val="Titre2"/>
      </w:pPr>
      <w:r>
        <w:t xml:space="preserve">Per-equation summary under selected configuration</w:t>
      </w:r>
    </w:p>
    <w:tbl>
      <w:tblPr>
        <w:tblStyle w:val="Table"/>
        <w:tblW w:type="pct" w:w="5000"/>
        <w:tblLayout w:type="fixed"/>
        <w:tblLook w:firstRow="0" w:lastRow="0" w:firstColumn="0" w:lastColumn="0" w:noHBand="0" w:noVBand="0" w:val="0000"/>
      </w:tblPr>
      <w:tblGrid>
        <w:gridCol w:w="7920"/>
      </w:tblGrid>
      <w:tr>
        <w:tc>
          <w:tcPr/>
          <w:bookmarkStart w:id="48" w:name="tbl-per-equation-summary"/>
          <w:p>
            <w:pPr>
              <w:jc w:val="center"/>
            </w:pPr>
            <w:pPr>
              <w:jc w:val="start"/>
              <w:spacing w:before="200"/>
              <w:pStyle w:val="ImageCaption"/>
            </w:pPr>
            <w:r>
              <w:t xml:space="preserve">Table 2: Diagnostic summary per equation under the selected configuration. Validity = proportion of windows passing all three criteria. ΔR² = R²c − R²m (variance attributable to random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60" w:hRule="auto"/>
                <w:tblHeader/>
              </w:trPr>
              <w:tc>
                <w:tcPr>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Equation</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Transform</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Validity</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R²m</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R²c</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ΔR²</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Skewness</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Heterosced.</w:t>
                  </w:r>
                </w:p>
              </w:tc>
              <w:tc>
                <w:tcPr>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VIF max</w:t>
                  </w:r>
                </w:p>
              </w:tc>
            </w:tr>
            <w:tr>
              <w:trPr>
                <w:cantSplit/>
                <w:trHeight w:val="360" w:hRule="auto"/>
              </w:trPr>
              <w:tc>
                <w:tcPr>
                  <w:tcBorders>
                    <w:bottom w:val="single" w:sz="4" w:space="0" w:color="999999"/>
                    <w:top w:val="single" w:sz="8" w:space="0" w:color="000000"/>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Faunal activity</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hellinger</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2D6A4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2D6A4F"/>
                    </w:rPr>
                    <w:t xml:space="preserve">1.000</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0.410</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0.548</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0.138</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-0.038</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-0.005</w:t>
                  </w:r>
                </w:p>
              </w:tc>
              <w:tc>
                <w:tcPr>
                  <w:tcBorders>
                    <w:bottom w:val="single" w:sz="4" w:space="0" w:color="999999"/>
                    <w:top w:val="single" w:sz="8" w:space="0" w:color="000000"/>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1.82</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Root growth</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sqrt_plus_one</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2D6A4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2D6A4F"/>
                    </w:rPr>
                    <w:t xml:space="preserve">1.000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0.644</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0.680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0.037</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0.051</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0.181</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1.76</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temp_soil_max</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none</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2D6A4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2D6A4F"/>
                    </w:rPr>
                    <w:t xml:space="preserve">0.750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0.616</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0.616</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0.000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0.129</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0.027</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
                  </w:r>
                </w:p>
              </w:tc>
            </w:tr>
            <w:tr>
              <w:trPr>
                <w:cantSplit/>
                <w:trHeight w:val="360" w:hRule="auto"/>
              </w:trPr>
              <w:tc>
                <w:tcPr>
                  <w:tcBorders>
                    <w:bottom w:val="single" w:sz="8" w:space="0" w:color="000000"/>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hum_soil_max</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hellinger</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2D6A4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2D6A4F"/>
                    </w:rPr>
                    <w:t xml:space="preserve">0.750</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0.180</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0.180</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-0.000</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-0.147</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-0.126</w:t>
                  </w:r>
                </w:p>
              </w:tc>
              <w:tc>
                <w:tcPr>
                  <w:tcBorders>
                    <w:bottom w:val="single" w:sz="8" w:space="0" w:color="000000"/>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
                  </w:r>
                </w:p>
              </w:tc>
            </w:tr>
          </w:tbl>
          <w:bookmarkEnd w:id="48"/>
        </w:tc>
      </w:tr>
    </w:tbl>
    <w:tbl>
      <w:tblPr>
        <w:tblStyle w:val="Table"/>
        <w:tblW w:type="pct" w:w="5000"/>
        <w:tblLayout w:type="fixed"/>
        <w:tblLook w:firstRow="0" w:lastRow="0" w:firstColumn="0" w:lastColumn="0" w:noHBand="0" w:noVBand="0" w:val="0000"/>
      </w:tblPr>
      <w:tblGrid>
        <w:gridCol w:w="7920"/>
      </w:tblGrid>
      <w:tr>
        <w:tc>
          <w:tcPr/>
          <w:bookmarkStart w:id="52" w:name="fig-per-equation-barplot"/>
          <w:p>
            <w:pPr>
              <w:pStyle w:val="Compact"/>
              <w:jc w:val="center"/>
            </w:pPr>
            <w:r>
              <w:drawing>
                <wp:inline>
                  <wp:extent cx="5504749" cy="4128561"/>
                  <wp:effectExtent b="0" l="0" r="0" t="0"/>
                  <wp:docPr descr="" title="" id="50" name="Picture"/>
                  <a:graphic>
                    <a:graphicData uri="http://schemas.openxmlformats.org/drawingml/2006/picture">
                      <pic:pic>
                        <pic:nvPicPr>
                          <pic:cNvPr descr="2.SEM_diagnostic_docx_version_files/figure-docx/fig-per-equation-barplot-1.png" id="51" name="Picture"/>
                          <pic:cNvPicPr>
                            <a:picLocks noChangeArrowheads="1" noChangeAspect="1"/>
                          </pic:cNvPicPr>
                        </pic:nvPicPr>
                        <pic:blipFill>
                          <a:blip r:embed="rId49"/>
                          <a:stretch>
                            <a:fillRect/>
                          </a:stretch>
                        </pic:blipFill>
                        <pic:spPr bwMode="auto">
                          <a:xfrm>
                            <a:off x="0" y="0"/>
                            <a:ext cx="5504749" cy="41285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Proportion of windows passing all diagnostic criteria per equation.</w:t>
            </w:r>
            <w:r>
              <w:t xml:space="preserve"> </w:t>
            </w:r>
            <w:r>
              <w:t xml:space="preserve">Each bar is coloured by the dominant failure mode. The dashed line at 70 % marks a reference target for adequate coverage. C1 = heteroscedasticity; C2 = skewness; C3 = collinearity (Eqs S3.1–S3.3).</w:t>
            </w:r>
          </w:p>
          <w:bookmarkEnd w:id="52"/>
        </w:tc>
      </w:tr>
    </w:tbl>
    <w:bookmarkEnd w:id="53"/>
    <w:bookmarkStart w:id="58" w:name="sec-temporal"/>
    <w:p>
      <w:pPr>
        <w:pStyle w:val="Titre2"/>
      </w:pPr>
      <w:r>
        <w:t xml:space="preserve">Temporal window retention</w:t>
      </w:r>
    </w:p>
    <w:p>
      <w:pPr>
        <w:pStyle w:val="FirstParagraph"/>
      </w:pPr>
      <w:r>
        <w:t xml:space="preserve">Every window in the full time series is evaluated under the selected configuration. Windows where fewer than 75 % of the four equations satisfy all criteria concurrently are excluded from the rolling-window SEM in Script S3.</w:t>
      </w:r>
    </w:p>
    <w:tbl>
      <w:tblPr>
        <w:tblStyle w:val="Table"/>
        <w:tblW w:type="pct" w:w="5000"/>
        <w:tblLayout w:type="fixed"/>
        <w:tblLook w:firstRow="0" w:lastRow="0" w:firstColumn="0" w:lastColumn="0" w:noHBand="0" w:noVBand="0" w:val="0000"/>
      </w:tblPr>
      <w:tblGrid>
        <w:gridCol w:w="7920"/>
      </w:tblGrid>
      <w:tr>
        <w:tc>
          <w:tcPr/>
          <w:bookmarkStart w:id="57" w:name="fig-window-validity"/>
          <w:p>
            <w:pPr>
              <w:pStyle w:val="Compact"/>
              <w:jc w:val="center"/>
            </w:pPr>
            <w:r>
              <w:drawing>
                <wp:inline>
                  <wp:extent cx="5504749" cy="4587290"/>
                  <wp:effectExtent b="0" l="0" r="0" t="0"/>
                  <wp:docPr descr="" title="" id="55" name="Picture"/>
                  <a:graphic>
                    <a:graphicData uri="http://schemas.openxmlformats.org/drawingml/2006/picture">
                      <pic:pic>
                        <pic:nvPicPr>
                          <pic:cNvPr descr="2.SEM_diagnostic_docx_version_files/figure-docx/fig-window-validity-1.png" id="56" name="Picture"/>
                          <pic:cNvPicPr>
                            <a:picLocks noChangeArrowheads="1" noChangeAspect="1"/>
                          </pic:cNvPicPr>
                        </pic:nvPicPr>
                        <pic:blipFill>
                          <a:blip r:embed="rId54"/>
                          <a:stretch>
                            <a:fillRect/>
                          </a:stretch>
                        </pic:blipFill>
                        <pic:spPr bwMode="auto">
                          <a:xfrm>
                            <a:off x="0" y="0"/>
                            <a:ext cx="5504749" cy="458729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b/>
                <w:bCs/>
              </w:rPr>
              <w:t xml:space="preserve">Window-level diagnostic validity over time.</w:t>
            </w:r>
            <w:r>
              <w:t xml:space="preserve"> </w:t>
            </w:r>
            <w:r>
              <w:t xml:space="preserve">Each point is one rolling window; the y-axis is the proportion of the four structural equations (Eqs S1.1–S1.4) that simultaneously satisfy all three criteria (Eq S3.4). Green = retained; red = excluded. Clusters of excluded windows typically co-occur with abrupt transitions in microclimate or crop management events.</w:t>
            </w:r>
          </w:p>
          <w:bookmarkEnd w:id="57"/>
        </w:tc>
      </w:tr>
    </w:tbl>
    <w:bookmarkEnd w:id="58"/>
    <w:bookmarkStart w:id="75" w:name="sec-visual"/>
    <w:p>
      <w:pPr>
        <w:pStyle w:val="Titre2"/>
      </w:pPr>
      <w:r>
        <w:t xml:space="preserve">Visual model checks — selected configuration</w:t>
      </w:r>
    </w:p>
    <w:p>
      <w:pPr>
        <w:pStyle w:val="FirstParagraph"/>
      </w:pPr>
      <w:r>
        <w:t xml:space="preserve">The following six-panel figures pool per-observation diagnostics from a random subsample of 100 retained windows for each structural equation. Panels follow the standard model-checking workflow: posterior predictive check, linearity, homogeneity of variance, influential observations, collinearity, and normality of residuals.</w:t>
      </w:r>
    </w:p>
    <w:tbl>
      <w:tblPr>
        <w:tblStyle w:val="Table"/>
        <w:tblW w:type="pct" w:w="5000"/>
        <w:tblLayout w:type="fixed"/>
        <w:tblLook w:firstRow="0" w:lastRow="0" w:firstColumn="0" w:lastColumn="0" w:noHBand="0" w:noVBand="0" w:val="0000"/>
      </w:tblPr>
      <w:tblGrid>
        <w:gridCol w:w="7920"/>
      </w:tblGrid>
      <w:tr>
        <w:tc>
          <w:tcPr/>
          <w:bookmarkStart w:id="62" w:name="fig-check-models-1"/>
          <w:p>
            <w:pPr>
              <w:pStyle w:val="Compact"/>
              <w:jc w:val="center"/>
            </w:pPr>
            <w:r>
              <w:drawing>
                <wp:inline>
                  <wp:extent cx="5969000" cy="5409406"/>
                  <wp:effectExtent b="0" l="0" r="0" t="0"/>
                  <wp:docPr descr="" title="" id="60" name="Picture"/>
                  <a:graphic>
                    <a:graphicData uri="http://schemas.openxmlformats.org/drawingml/2006/picture">
                      <pic:pic>
                        <pic:nvPicPr>
                          <pic:cNvPr descr="2.SEM_diagnostic_docx_version_files/figure-docx/fig-check-models-1.png" id="61" name="Picture"/>
                          <pic:cNvPicPr>
                            <a:picLocks noChangeArrowheads="1" noChangeAspect="1"/>
                          </pic:cNvPicPr>
                        </pic:nvPicPr>
                        <pic:blipFill>
                          <a:blip r:embed="rId59"/>
                          <a:stretch>
                            <a:fillRect/>
                          </a:stretch>
                        </pic:blipFill>
                        <pic:spPr bwMode="auto">
                          <a:xfrm>
                            <a:off x="0" y="0"/>
                            <a:ext cx="5969000" cy="540940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Six-panel model diagnostics for each structural equation.</w:t>
            </w:r>
            <w:r>
              <w:t xml:space="preserve"> </w:t>
            </w:r>
            <w:r>
              <w:t xml:space="preserve">Panels: (1) Posterior Predictive Check — predicted densities should envelop the observed distribution; (2) Linearity — LOESS on residuals vs. fitted should be flat; (3) Homogeneity of variance (C1) — square-root scaled residuals vs. fitted; (4) Influential observations — residuals vs. leverage with Cook’s D contours at 0.5 and 1.0; (5) Collinearity (C3) — per-predictor VIF across windows; (6) Normality (C2) — Q-Q plot of normalised residuals.</w:t>
            </w:r>
          </w:p>
          <w:bookmarkEnd w:id="62"/>
        </w:tc>
      </w:tr>
    </w:tbl>
    <w:tbl>
      <w:tblPr>
        <w:tblStyle w:val="Table"/>
        <w:tblW w:type="pct" w:w="5000"/>
        <w:tblLayout w:type="fixed"/>
        <w:tblLook w:firstRow="0" w:lastRow="0" w:firstColumn="0" w:lastColumn="0" w:noHBand="0" w:noVBand="0" w:val="0000"/>
      </w:tblPr>
      <w:tblGrid>
        <w:gridCol w:w="7920"/>
      </w:tblGrid>
      <w:tr>
        <w:tc>
          <w:tcPr/>
          <w:bookmarkStart w:id="66" w:name="fig-check-models-2"/>
          <w:p>
            <w:pPr>
              <w:pStyle w:val="Compact"/>
              <w:jc w:val="center"/>
            </w:pPr>
            <w:r>
              <w:drawing>
                <wp:inline>
                  <wp:extent cx="5969000" cy="5409406"/>
                  <wp:effectExtent b="0" l="0" r="0" t="0"/>
                  <wp:docPr descr="" title="" id="64" name="Picture"/>
                  <a:graphic>
                    <a:graphicData uri="http://schemas.openxmlformats.org/drawingml/2006/picture">
                      <pic:pic>
                        <pic:nvPicPr>
                          <pic:cNvPr descr="2.SEM_diagnostic_docx_version_files/figure-docx/fig-check-models-2.png" id="65" name="Picture"/>
                          <pic:cNvPicPr>
                            <a:picLocks noChangeArrowheads="1" noChangeAspect="1"/>
                          </pic:cNvPicPr>
                        </pic:nvPicPr>
                        <pic:blipFill>
                          <a:blip r:embed="rId63"/>
                          <a:stretch>
                            <a:fillRect/>
                          </a:stretch>
                        </pic:blipFill>
                        <pic:spPr bwMode="auto">
                          <a:xfrm>
                            <a:off x="0" y="0"/>
                            <a:ext cx="5969000" cy="540940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w:t>
            </w:r>
            <w:r>
              <w:t xml:space="preserve"> </w:t>
            </w:r>
            <w:r>
              <w:rPr>
                <w:b/>
                <w:bCs/>
              </w:rPr>
              <w:t xml:space="preserve">Six-panel model diagnostics for each structural equation.</w:t>
            </w:r>
            <w:r>
              <w:t xml:space="preserve"> </w:t>
            </w:r>
            <w:r>
              <w:t xml:space="preserve">Panels: (1) Posterior Predictive Check — predicted densities should envelop the observed distribution; (2) Linearity — LOESS on residuals vs. fitted should be flat; (3) Homogeneity of variance (C1) — square-root scaled residuals vs. fitted; (4) Influential observations — residuals vs. leverage with Cook’s D contours at 0.5 and 1.0; (5) Collinearity (C3) — per-predictor VIF across windows; (6) Normality (C2) — Q-Q plot of normalised residuals.</w:t>
            </w:r>
          </w:p>
          <w:bookmarkEnd w:id="66"/>
        </w:tc>
      </w:tr>
    </w:tbl>
    <w:tbl>
      <w:tblPr>
        <w:tblStyle w:val="Table"/>
        <w:tblW w:type="pct" w:w="5000"/>
        <w:tblLayout w:type="fixed"/>
        <w:tblLook w:firstRow="0" w:lastRow="0" w:firstColumn="0" w:lastColumn="0" w:noHBand="0" w:noVBand="0" w:val="0000"/>
      </w:tblPr>
      <w:tblGrid>
        <w:gridCol w:w="7920"/>
      </w:tblGrid>
      <w:tr>
        <w:tc>
          <w:tcPr/>
          <w:bookmarkStart w:id="70" w:name="fig-check-models-3"/>
          <w:p>
            <w:pPr>
              <w:pStyle w:val="Compact"/>
              <w:jc w:val="center"/>
            </w:pPr>
            <w:r>
              <w:drawing>
                <wp:inline>
                  <wp:extent cx="5969000" cy="5409406"/>
                  <wp:effectExtent b="0" l="0" r="0" t="0"/>
                  <wp:docPr descr="" title="" id="68" name="Picture"/>
                  <a:graphic>
                    <a:graphicData uri="http://schemas.openxmlformats.org/drawingml/2006/picture">
                      <pic:pic>
                        <pic:nvPicPr>
                          <pic:cNvPr descr="2.SEM_diagnostic_docx_version_files/figure-docx/fig-check-models-3.png" id="69" name="Picture"/>
                          <pic:cNvPicPr>
                            <a:picLocks noChangeArrowheads="1" noChangeAspect="1"/>
                          </pic:cNvPicPr>
                        </pic:nvPicPr>
                        <pic:blipFill>
                          <a:blip r:embed="rId67"/>
                          <a:stretch>
                            <a:fillRect/>
                          </a:stretch>
                        </pic:blipFill>
                        <pic:spPr bwMode="auto">
                          <a:xfrm>
                            <a:off x="0" y="0"/>
                            <a:ext cx="5969000" cy="5409406"/>
                          </a:xfrm>
                          <a:prstGeom prst="rect">
                            <a:avLst/>
                          </a:prstGeom>
                          <a:noFill/>
                          <a:ln w="9525">
                            <a:noFill/>
                            <a:headEnd/>
                            <a:tailEnd/>
                          </a:ln>
                        </pic:spPr>
                      </pic:pic>
                    </a:graphicData>
                  </a:graphic>
                </wp:inline>
              </w:drawing>
            </w:r>
          </w:p>
          <w:p>
            <w:pPr>
              <w:jc w:val="center"/>
            </w:pPr>
            <w:pPr>
              <w:jc w:val="start"/>
              <w:spacing w:before="200"/>
              <w:pStyle w:val="ImageCaption"/>
            </w:pPr>
            <w:r>
              <w:t xml:space="preserve">Figure 5:</w:t>
            </w:r>
            <w:r>
              <w:t xml:space="preserve"> </w:t>
            </w:r>
            <w:r>
              <w:rPr>
                <w:b/>
                <w:bCs/>
              </w:rPr>
              <w:t xml:space="preserve">Six-panel model diagnostics for each structural equation.</w:t>
            </w:r>
            <w:r>
              <w:t xml:space="preserve"> </w:t>
            </w:r>
            <w:r>
              <w:t xml:space="preserve">Panels: (1) Posterior Predictive Check — predicted densities should envelop the observed distribution; (2) Linearity — LOESS on residuals vs. fitted should be flat; (3) Homogeneity of variance (C1) — square-root scaled residuals vs. fitted; (4) Influential observations — residuals vs. leverage with Cook’s D contours at 0.5 and 1.0; (5) Collinearity (C3) — per-predictor VIF across windows; (6) Normality (C2) — Q-Q plot of normalised residuals.</w:t>
            </w:r>
          </w:p>
          <w:bookmarkEnd w:id="70"/>
        </w:tc>
      </w:tr>
    </w:tbl>
    <w:tbl>
      <w:tblPr>
        <w:tblStyle w:val="Table"/>
        <w:tblW w:type="pct" w:w="5000"/>
        <w:tblLayout w:type="fixed"/>
        <w:tblLook w:firstRow="0" w:lastRow="0" w:firstColumn="0" w:lastColumn="0" w:noHBand="0" w:noVBand="0" w:val="0000"/>
      </w:tblPr>
      <w:tblGrid>
        <w:gridCol w:w="7920"/>
      </w:tblGrid>
      <w:tr>
        <w:tc>
          <w:tcPr/>
          <w:bookmarkStart w:id="74" w:name="fig-check-models-4"/>
          <w:p>
            <w:pPr>
              <w:pStyle w:val="Compact"/>
              <w:jc w:val="center"/>
            </w:pPr>
            <w:r>
              <w:drawing>
                <wp:inline>
                  <wp:extent cx="5969000" cy="5409406"/>
                  <wp:effectExtent b="0" l="0" r="0" t="0"/>
                  <wp:docPr descr="" title="" id="72" name="Picture"/>
                  <a:graphic>
                    <a:graphicData uri="http://schemas.openxmlformats.org/drawingml/2006/picture">
                      <pic:pic>
                        <pic:nvPicPr>
                          <pic:cNvPr descr="2.SEM_diagnostic_docx_version_files/figure-docx/fig-check-models-4.png" id="73" name="Picture"/>
                          <pic:cNvPicPr>
                            <a:picLocks noChangeArrowheads="1" noChangeAspect="1"/>
                          </pic:cNvPicPr>
                        </pic:nvPicPr>
                        <pic:blipFill>
                          <a:blip r:embed="rId71"/>
                          <a:stretch>
                            <a:fillRect/>
                          </a:stretch>
                        </pic:blipFill>
                        <pic:spPr bwMode="auto">
                          <a:xfrm>
                            <a:off x="0" y="0"/>
                            <a:ext cx="5969000" cy="5409406"/>
                          </a:xfrm>
                          <a:prstGeom prst="rect">
                            <a:avLst/>
                          </a:prstGeom>
                          <a:noFill/>
                          <a:ln w="9525">
                            <a:noFill/>
                            <a:headEnd/>
                            <a:tailEnd/>
                          </a:ln>
                        </pic:spPr>
                      </pic:pic>
                    </a:graphicData>
                  </a:graphic>
                </wp:inline>
              </w:drawing>
            </w:r>
          </w:p>
          <w:p>
            <w:pPr>
              <w:jc w:val="center"/>
            </w:pPr>
            <w:pPr>
              <w:jc w:val="start"/>
              <w:spacing w:before="200"/>
              <w:pStyle w:val="ImageCaption"/>
            </w:pPr>
            <w:r>
              <w:t xml:space="preserve">Figure 6:</w:t>
            </w:r>
            <w:r>
              <w:t xml:space="preserve"> </w:t>
            </w:r>
            <w:r>
              <w:rPr>
                <w:b/>
                <w:bCs/>
              </w:rPr>
              <w:t xml:space="preserve">Six-panel model diagnostics for each structural equation.</w:t>
            </w:r>
            <w:r>
              <w:t xml:space="preserve"> </w:t>
            </w:r>
            <w:r>
              <w:t xml:space="preserve">Panels: (1) Posterior Predictive Check — predicted densities should envelop the observed distribution; (2) Linearity — LOESS on residuals vs. fitted should be flat; (3) Homogeneity of variance (C1) — square-root scaled residuals vs. fitted; (4) Influential observations — residuals vs. leverage with Cook’s D contours at 0.5 and 1.0; (5) Collinearity (C3) — per-predictor VIF across windows; (6) Normality (C2) — Q-Q plot of normalised residuals.</w:t>
            </w:r>
          </w:p>
          <w:bookmarkEnd w:id="74"/>
        </w:tc>
      </w:tr>
    </w:tbl>
    <w:p>
      <w:r>
        <w:pict>
          <v:rect style="width:0;height:1.5pt" o:hralign="center" o:hrstd="t" o:hr="t"/>
        </w:pict>
      </w:r>
    </w:p>
    <w:bookmarkEnd w:id="75"/>
    <w:bookmarkEnd w:id="76"/>
    <w:bookmarkStart w:id="77" w:name="sec-export"/>
    <w:p>
      <w:pPr>
        <w:pStyle w:val="Titre1"/>
      </w:pPr>
      <w:r>
        <w:t xml:space="preserve">Export</w:t>
      </w:r>
    </w:p>
    <w:p>
      <w:pPr>
        <w:pStyle w:val="FirstParagraph"/>
      </w:pPr>
      <w:r>
        <w:t xml:space="preserve">The following files are written to</w:t>
      </w:r>
      <w:r>
        <w:t xml:space="preserve"> </w:t>
      </w:r>
      <w:r>
        <w:rPr>
          <w:rStyle w:val="VerbatimChar"/>
        </w:rPr>
        <w:t xml:space="preserve">../output/</w:t>
      </w:r>
      <w:r>
        <w:t xml:space="preserve"> </w:t>
      </w:r>
      <w:r>
        <w:t xml:space="preserve">for use by Script S3 (</w:t>
      </w:r>
      <w:r>
        <w:rPr>
          <w:rStyle w:val="VerbatimChar"/>
        </w:rPr>
        <w:t xml:space="preserve">3_SEM_modelisation.qmd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Output file</w:t>
            </w:r>
          </w:p>
        </w:tc>
        <w:tc>
          <w:tcPr/>
          <w:p>
            <w:pPr>
              <w:pStyle w:val="Compact"/>
              <w:jc w:val="left"/>
            </w:pPr>
            <w:r>
              <w:t xml:space="preserve">Contents</w:t>
            </w:r>
          </w:p>
        </w:tc>
      </w:tr>
      <w:tr>
        <w:tc>
          <w:tcPr/>
          <w:p>
            <w:pPr>
              <w:pStyle w:val="Compact"/>
              <w:jc w:val="left"/>
            </w:pPr>
            <w:r>
              <w:rPr>
                <w:rStyle w:val="VerbatimChar"/>
              </w:rPr>
              <w:t xml:space="preserve">benchmark_results_database.csv</w:t>
            </w:r>
          </w:p>
        </w:tc>
        <w:tc>
          <w:tcPr/>
          <w:p>
            <w:pPr>
              <w:pStyle w:val="Compact"/>
              <w:jc w:val="left"/>
            </w:pPr>
            <w:r>
              <w:t xml:space="preserve">Full sensitivity grid results (Table S2.1 expanded)</w:t>
            </w:r>
          </w:p>
        </w:tc>
      </w:tr>
      <w:tr>
        <w:tc>
          <w:tcPr/>
          <w:p>
            <w:pPr>
              <w:pStyle w:val="Compact"/>
              <w:jc w:val="left"/>
            </w:pPr>
            <w:r>
              <w:rPr>
                <w:rStyle w:val="VerbatimChar"/>
              </w:rPr>
              <w:t xml:space="preserve">selected_windows.txt</w:t>
            </w:r>
          </w:p>
        </w:tc>
        <w:tc>
          <w:tcPr/>
          <w:p>
            <w:pPr>
              <w:pStyle w:val="Compact"/>
              <w:jc w:val="left"/>
            </w:pPr>
            <w:r>
              <w:t xml:space="preserve">Dates of retained rolling windows (one per line)</w:t>
            </w:r>
          </w:p>
        </w:tc>
      </w:tr>
      <w:tr>
        <w:tc>
          <w:tcPr/>
          <w:p>
            <w:pPr>
              <w:pStyle w:val="Compact"/>
              <w:jc w:val="left"/>
            </w:pPr>
            <w:r>
              <w:rPr>
                <w:rStyle w:val="VerbatimChar"/>
              </w:rPr>
              <w:t xml:space="preserve">model_parameters.txt</w:t>
            </w:r>
          </w:p>
        </w:tc>
        <w:tc>
          <w:tcPr/>
          <w:p>
            <w:pPr>
              <w:pStyle w:val="Compact"/>
              <w:jc w:val="left"/>
            </w:pPr>
            <w:r>
              <w:t xml:space="preserve">JSON: selected window, completeness, and transformations</w:t>
            </w:r>
          </w:p>
        </w:tc>
      </w:tr>
      <w:tr>
        <w:tc>
          <w:tcPr/>
          <w:p>
            <w:pPr>
              <w:pStyle w:val="Compact"/>
              <w:jc w:val="left"/>
            </w:pPr>
            <w:r>
              <w:rPr>
                <w:rStyle w:val="VerbatimChar"/>
              </w:rPr>
              <w:t xml:space="preserve">FigS2_*_diagnostics.tiff</w:t>
            </w:r>
          </w:p>
        </w:tc>
        <w:tc>
          <w:tcPr/>
          <w:p>
            <w:pPr>
              <w:pStyle w:val="Compact"/>
              <w:jc w:val="left"/>
            </w:pPr>
            <w:r>
              <w:t xml:space="preserve">Six-panel check figures for each structural equation</w:t>
            </w:r>
          </w:p>
        </w:tc>
      </w:tr>
    </w:tbl>
    <w:bookmarkEnd w:id="77"/>
    <w:sectPr w:rsidR="00222FC8" w:rsidRPr="00190D94">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7916D5D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22FC8"/>
    <w:rsid w:val="00190D94"/>
    <w:rsid w:val="00222FC8"/>
    <w:rsid w:val="00990DA5"/>
    <w:rsid w:val="00B5502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Times New Roman" w:hAnsi="Arial"/>
        <w:sz w:val="22"/>
        <w:szCs w:val="22"/>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pPr>
      <w:keepNext/>
      <w:keepLines/>
      <w:spacing w:after="120" w:before="360"/>
      <w:outlineLvl w:val="0"/>
    </w:pPr>
    <w:rPr>
      <w:b/>
      <w:bCs/>
      <w:color w:val="000000"/>
      <w:sz w:val="30"/>
      <w:szCs w:val="30"/>
    </w:rPr>
  </w:style>
  <w:style w:styleId="Titre2" w:type="paragraph">
    <w:name w:val="heading 2"/>
    <w:basedOn w:val="Normal"/>
    <w:next w:val="Corpsdetexte"/>
    <w:uiPriority w:val="9"/>
    <w:unhideWhenUsed/>
    <w:qFormat/>
    <w:pPr>
      <w:keepNext/>
      <w:keepLines/>
      <w:spacing w:after="80" w:before="240"/>
      <w:outlineLvl w:val="1"/>
    </w:pPr>
    <w:rPr>
      <w:b/>
      <w:bCs/>
      <w:color w:val="000000"/>
      <w:sz w:val="26"/>
      <w:szCs w:val="26"/>
    </w:rPr>
  </w:style>
  <w:style w:styleId="Titre3" w:type="paragraph">
    <w:name w:val="heading 3"/>
    <w:basedOn w:val="Normal"/>
    <w:next w:val="Corpsdetexte"/>
    <w:uiPriority w:val="9"/>
    <w:unhideWhenUsed/>
    <w:qFormat/>
    <w:pPr>
      <w:keepNext/>
      <w:keepLines/>
      <w:spacing w:after="0" w:before="200"/>
      <w:outlineLvl w:val="2"/>
    </w:pPr>
    <w:rPr>
      <w:b/>
      <w:bCs/>
      <w:color w:val="000000"/>
      <w:sz w:val="24"/>
      <w:szCs w:val="24"/>
    </w:rPr>
  </w:style>
  <w:style w:styleId="Titre4" w:type="paragraph">
    <w:name w:val="heading 4"/>
    <w:basedOn w:val="Normal"/>
    <w:next w:val="Corpsdetexte"/>
    <w:uiPriority w:val="9"/>
    <w:unhideWhenUsed/>
    <w:qFormat/>
    <w:pPr>
      <w:keepNext/>
      <w:keepLines/>
      <w:spacing w:after="0" w:before="200"/>
      <w:outlineLvl w:val="3"/>
    </w:pPr>
    <w:rPr>
      <w:bCs/>
      <w:i/>
      <w:color w:val="000000"/>
      <w:sz w:val="24"/>
      <w:szCs w:val="24"/>
    </w:rPr>
  </w:style>
  <w:style w:styleId="Titre5" w:type="paragraph">
    <w:name w:val="heading 5"/>
    <w:basedOn w:val="Normal"/>
    <w:next w:val="Corpsdetexte"/>
    <w:uiPriority w:val="9"/>
    <w:unhideWhenUsed/>
    <w:qFormat/>
    <w:pPr>
      <w:keepNext/>
      <w:keepLines/>
      <w:spacing w:after="0" w:before="200"/>
      <w:outlineLvl w:val="4"/>
    </w:pPr>
    <w:rPr>
      <w:iCs/>
      <w:color w:val="000000"/>
      <w:sz w:val="24"/>
      <w:szCs w:val="24"/>
    </w:rPr>
  </w:style>
  <w:style w:styleId="Titre6" w:type="paragraph">
    <w:name w:val="heading 6"/>
    <w:basedOn w:val="Normal"/>
    <w:next w:val="Corpsdetexte"/>
    <w:uiPriority w:val="9"/>
    <w:unhideWhenUsed/>
    <w:qFormat/>
    <w:pPr>
      <w:keepNext/>
      <w:keepLines/>
      <w:spacing w:after="0" w:before="200"/>
      <w:outlineLvl w:val="5"/>
    </w:pPr>
    <w:rPr>
      <w:color w:val="000000"/>
      <w:sz w:val="24"/>
      <w:szCs w:val="24"/>
    </w:rPr>
  </w:style>
  <w:style w:styleId="Titre7" w:type="paragraph">
    <w:name w:val="heading 7"/>
    <w:basedOn w:val="Normal"/>
    <w:next w:val="Corpsdetexte"/>
    <w:uiPriority w:val="9"/>
    <w:unhideWhenUsed/>
    <w:qFormat/>
    <w:pPr>
      <w:keepNext/>
      <w:keepLines/>
      <w:spacing w:after="0" w:before="200"/>
      <w:outlineLvl w:val="6"/>
    </w:pPr>
    <w:rPr>
      <w:color w:val="000000"/>
      <w:sz w:val="24"/>
      <w:szCs w:val="24"/>
    </w:rPr>
  </w:style>
  <w:style w:styleId="Titre8" w:type="paragraph">
    <w:name w:val="heading 8"/>
    <w:basedOn w:val="Normal"/>
    <w:next w:val="Corpsdetexte"/>
    <w:uiPriority w:val="9"/>
    <w:unhideWhenUsed/>
    <w:qFormat/>
    <w:pPr>
      <w:keepNext/>
      <w:keepLines/>
      <w:spacing w:after="0" w:before="200"/>
      <w:outlineLvl w:val="7"/>
    </w:pPr>
    <w:rPr>
      <w:color w:val="000000"/>
      <w:sz w:val="24"/>
      <w:szCs w:val="24"/>
    </w:rPr>
  </w:style>
  <w:style w:styleId="Titre9" w:type="paragraph">
    <w:name w:val="heading 9"/>
    <w:basedOn w:val="Normal"/>
    <w:next w:val="Corpsdetexte"/>
    <w:uiPriority w:val="9"/>
    <w:unhideWhenUsed/>
    <w:qFormat/>
    <w:pPr>
      <w:keepNext/>
      <w:keepLines/>
      <w:spacing w:after="0" w:before="200"/>
      <w:outlineLvl w:val="8"/>
    </w:pPr>
    <w:rPr>
      <w:color w:val="000000"/>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pPr>
      <w:keepNext/>
      <w:keepLines/>
      <w:spacing w:after="120" w:before="480"/>
    </w:pPr>
    <w:rPr>
      <w:b/>
      <w:bCs/>
      <w:color w:val="000000"/>
      <w:sz w:val="40"/>
      <w:szCs w:val="40"/>
    </w:rPr>
  </w:style>
  <w:style w:styleId="Sous-titre" w:type="paragraph">
    <w:name w:val="Subtitle"/>
    <w:basedOn w:val="Titre"/>
    <w:next w:val="Corpsdetexte"/>
    <w:qFormat/>
    <w:pPr>
      <w:spacing w:after="240" w:before="240"/>
      <w:jc w:val="center"/>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val="000000"/>
    </w:rPr>
  </w:style>
  <w:style w:styleId="En-ttedetabledesmatires" w:type="paragraph">
    <w:name w:val="TOC Heading"/>
    <w:basedOn w:val="Titre1"/>
    <w:next w:val="Corpsdetexte"/>
    <w:uiPriority w:val="39"/>
    <w:unhideWhenUsed/>
    <w:qFormat/>
    <w:pPr>
      <w:spacing w:before="240" w:line="259" w:lineRule="auto"/>
      <w:outlineLvl w:val="9"/>
    </w:pPr>
    <w:rPr>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49" Target="media/rId49.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Pre-modelling diagnostic calibration for the rolling-window piecewise SEM</dc:title>
  <dc:creator/>
  <cp:keywords/>
  <dcterms:created xsi:type="dcterms:W3CDTF">2026-06-08T23:00:13Z</dcterms:created>
  <dcterms:modified xsi:type="dcterms:W3CDTF">2026-06-08T23:00:13Z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