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Land-use</w:t>
      </w:r>
      <w:r>
        <w:t xml:space="preserve"> </w:t>
      </w:r>
      <w:r>
        <w:t xml:space="preserve">effects</w:t>
      </w:r>
      <w:r>
        <w:t xml:space="preserve"> </w:t>
      </w:r>
      <w:r>
        <w:t xml:space="preserve">on</w:t>
      </w:r>
      <w:r>
        <w:t xml:space="preserve"> </w:t>
      </w:r>
      <w:r>
        <w:t xml:space="preserve">soil</w:t>
      </w:r>
      <w:r>
        <w:t xml:space="preserve"> </w:t>
      </w:r>
      <w:r>
        <w:t xml:space="preserve">fauna</w:t>
      </w:r>
      <w:r>
        <w:t xml:space="preserve"> </w:t>
      </w:r>
      <w:r>
        <w:t xml:space="preserve">are</w:t>
      </w:r>
      <w:r>
        <w:t xml:space="preserve"> </w:t>
      </w:r>
      <w:r>
        <w:t xml:space="preserve">temporally</w:t>
      </w:r>
      <w:r>
        <w:t xml:space="preserve"> </w:t>
      </w:r>
      <w:r>
        <w:t xml:space="preserve">unstable</w:t>
      </w:r>
    </w:p>
    <w:bookmarkStart w:id="20" w:name="study-description"/>
    <w:p>
      <w:pPr>
        <w:pStyle w:val="Titre2"/>
      </w:pPr>
      <w:r>
        <w:t xml:space="preserve">Study description</w:t>
      </w:r>
    </w:p>
    <w:p>
      <w:pPr>
        <w:pStyle w:val="FirstParagraph"/>
      </w:pPr>
      <w:r>
        <w:t xml:space="preserve">Soil invertebrate communities were monitored at 6-hour resolution over nearly two years using eight buried scanners deployed across two contrasted land-use positions within the same Mediterranean agroforestry system: position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(unmanaged — treed cover with permanent herbaceous vegetation) and position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(managed — open cultivated area). By combining faunal activity time series with continuous measurements of root dynamics and paired microclimate indices, we apply a rolling-window piecewise structural equation model (pSEM) to characterise both the direction and the temporal variability of causal pathways linking edaphic conditions to soil faunal activity.</w:t>
      </w:r>
    </w:p>
    <w:p>
      <w:pPr>
        <w:pStyle w:val="Corpsdetexte"/>
      </w:pPr>
      <w:r>
        <w:t xml:space="preserve">The rolling-window approach — fitting the model on successive overlapping 14-day windows advanced in daily steps rather than on the full time series — is central to the study design. It yields a distribution of standardised path coefficients over time, capturing how the strength and sign of causal links fluctuate across seasons and in direct response to management events. A divergence index is additionally computed per window to track whether land-use forcing compresses or sustains inter-taxon response heterogeneity.</w:t>
      </w:r>
    </w:p>
    <w:bookmarkEnd w:id="20"/>
    <w:bookmarkStart w:id="21" w:name="study-site"/>
    <w:p>
      <w:pPr>
        <w:pStyle w:val="Titre2"/>
      </w:pPr>
      <w:r>
        <w:t xml:space="preserve">Study site</w:t>
      </w:r>
    </w:p>
    <w:p>
      <w:pPr>
        <w:pStyle w:val="FirstParagraph"/>
      </w:pPr>
      <w:r>
        <w:t xml:space="preserve">The study was conducted at the experimental agroforestry site</w:t>
      </w:r>
      <w:r>
        <w:t xml:space="preserve"> </w:t>
      </w:r>
      <w:r>
        <w:rPr>
          <w:b/>
          <w:bCs/>
        </w:rPr>
        <w:t xml:space="preserve">DIAMs</w:t>
      </w:r>
      <w:r>
        <w:t xml:space="preserve"> </w:t>
      </w:r>
      <w:r>
        <w:t xml:space="preserve">(</w:t>
      </w:r>
      <w:r>
        <w:rPr>
          <w:i/>
          <w:iCs/>
        </w:rPr>
        <w:t xml:space="preserve">Dispositif Instrumenté en Agroforesterie Méditerranéenne sous contrainte hydrique</w:t>
      </w:r>
      <w:r>
        <w:t xml:space="preserve">) established in 2017 at the INRAE experimental station UE Diascope (Mauguio, Hérault, France; 43.612°N, 3.976°E), under a semi-arid Mediterranean climate (mean annual temperature 15.7 °C, mean annual precipitation 511 mm). Soils are classified as Skeletic Rhodic Luvisols with high stone content (&gt; 60%) and a clay-rich horizon below 100 cm.</w:t>
      </w:r>
    </w:p>
    <w:p>
      <w:pPr>
        <w:pStyle w:val="Corpsdetexte"/>
      </w:pPr>
      <w:r>
        <w:t xml:space="preserve">The system combines annual crop rotations with rows of black locust (</w:t>
      </w:r>
      <w:r>
        <w:rPr>
          <w:i/>
          <w:iCs/>
        </w:rPr>
        <w:t xml:space="preserve">Robinia pseudoacacia</w:t>
      </w:r>
      <w:r>
        <w:t xml:space="preserve"> </w:t>
      </w:r>
      <w:r>
        <w:t xml:space="preserve">L.) spaced 17 m apart, each row bordered by a 2 m-wide permanent grass strip. During the study period, the cropping sequence was: durum wheat (sown Dec 2023, harvested 8 Jul 2024) → sorghum (sown 15 Jul 2024, mown 22 Nov, tilled 25 Nov 2024; irrigated three times in Jul–Aug 2024) → chickpea (sown 14 Mar 2025, harvested 10 Jul 2025).</w:t>
      </w:r>
    </w:p>
    <w:bookmarkEnd w:id="21"/>
    <w:bookmarkStart w:id="23" w:name="hypotheses"/>
    <w:p>
      <w:pPr>
        <w:pStyle w:val="Titre2"/>
      </w:pPr>
      <w:r>
        <w:t xml:space="preserve">Hypotheses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ypothes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Research hypotheses for the rolling-window pSEM analysis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#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H1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Land-use effects on soil fauna are inherently non-stationary: their magnitude and direction shift through time in response to seasonal cycles and discrete management events.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H2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indirect pathways linking land use to faunal activity vary over time in intensity, as the dominant causal mechanism alternates between microclimatic forcing and resource-mediated (root) pathways.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H3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Periods of strong land-use forcing reduce response diversity by driving convergence in taxon-specific responses, thereby transiently constraining the functional heterogeneity of the community.</w:t>
                  </w:r>
                </w:p>
              </w:tc>
            </w:tr>
          </w:tbl>
          <w:bookmarkEnd w:id="22"/>
          <w:p/>
        </w:tc>
      </w:tr>
    </w:tbl>
    <w:bookmarkEnd w:id="23"/>
    <w:bookmarkStart w:id="28" w:name="causal-model-piecewise-sem"/>
    <w:p>
      <w:pPr>
        <w:pStyle w:val="Titre2"/>
      </w:pPr>
      <w:r>
        <w:t xml:space="preserve">Causal model (piecewise SEM)</w:t>
      </w:r>
    </w:p>
    <w:p>
      <w:pPr>
        <w:pStyle w:val="FirstParagraph"/>
      </w:pPr>
      <w:r>
        <w:t xml:space="preserve">All variables are z-score standardised within each window prior to modelling; land-use type is retained on its binary scale (treed = 0, cultivated = 1). Each structural equation is fitted as a linear mixed-effects model with a nested random intercept (</w:t>
      </w:r>
      <w:r>
        <w:rPr>
          <w:rStyle w:val="VerbatimChar"/>
        </w:rPr>
        <w:t xml:space="preserve">orientation / depth</w:t>
      </w:r>
      <w:r>
        <w:t xml:space="preserve">) and an AR(1) correlation structure. A residual covariance term (</w:t>
      </w:r>
      <w:r>
        <w:rPr>
          <w:rStyle w:val="VerbatimChar"/>
        </w:rPr>
        <w:t xml:space="preserve">microclimate_1 %~~% microclimate_2</w:t>
      </w:r>
      <w:r>
        <w:t xml:space="preserve">) captures shared physical drivers not represented by the binary land-use contrast.</w:t>
      </w:r>
    </w:p>
    <w:p>
      <w:pPr>
        <w:pStyle w:val="Normalcentr"/>
      </w:pPr>
      <w:r>
        <w:rPr>
          <w:b/>
          <w:bCs/>
        </w:rPr>
        <w:t xml:space="preserve">Tier 1 — Land use shapes microclimate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rPr>
                <m:nor/>
                <m:sty m:val="p"/>
              </m:rPr>
              <m:t>microclimate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nor/>
            <m:sty m:val="p"/>
          </m:rPr>
          <m:t>land_use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rPr>
                <m:nor/>
                <m:sty m:val="p"/>
              </m:rPr>
              <m:t>microclimate</m:t>
            </m:r>
          </m:e>
          <m:sub>
            <m:r>
              <m:t>2</m:t>
            </m:r>
          </m:sub>
        </m:sSub>
        <m:r>
          <m:rPr>
            <m:sty m:val="p"/>
          </m:rPr>
          <m:t>←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rPr>
            <m:nor/>
            <m:sty m:val="p"/>
          </m:rPr>
          <m:t>land_use</m:t>
        </m:r>
      </m:oMath>
    </w:p>
    <w:p>
      <w:pPr>
        <w:pStyle w:val="Normalcentr"/>
      </w:pPr>
      <w:r>
        <w:rPr>
          <w:b/>
          <w:bCs/>
        </w:rPr>
        <w:t xml:space="preserve">Tier 2 — Microclimate × Land use drives root growth</w:t>
      </w:r>
      <w:r>
        <w:t xml:space="preserve"> </w:t>
      </w:r>
      <w:r>
        <w:t xml:space="preserve">*</w:t>
      </w:r>
      <w:r>
        <w:t xml:space="preserve"> </w:t>
      </w:r>
      <m:oMath>
        <m:r>
          <m:rPr>
            <m:nor/>
            <m:sty m:val="p"/>
          </m:rPr>
          <m:t>root</m:t>
        </m:r>
        <m:r>
          <m:rPr>
            <m:sty m:val="p"/>
          </m:rPr>
          <m:t>←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mc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mc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r>
          <m:rPr>
            <m:sty m:val="p"/>
          </m:rPr>
          <m:t>⋅</m:t>
        </m:r>
        <m:r>
          <m:rPr>
            <m:nor/>
            <m:sty m:val="p"/>
          </m:rPr>
          <m:t>land_use</m:t>
        </m:r>
      </m:oMath>
    </w:p>
    <w:p>
      <w:pPr>
        <w:pStyle w:val="Normalcentr"/>
      </w:pPr>
      <w:r>
        <w:rPr>
          <w:b/>
          <w:bCs/>
        </w:rPr>
        <w:t xml:space="preserve">Tier 3 — Microclimate + Root × Land use drives fauna</w:t>
      </w:r>
      <w:r>
        <w:t xml:space="preserve"> </w:t>
      </w:r>
      <w:r>
        <w:t xml:space="preserve">*</w:t>
      </w:r>
      <w:r>
        <w:t xml:space="preserve"> </w:t>
      </w:r>
      <m:oMath>
        <m:r>
          <m:rPr>
            <m:nor/>
            <m:sty m:val="p"/>
          </m:rPr>
          <m:t>fauna</m:t>
        </m:r>
        <m:r>
          <m:rPr>
            <m:sty m:val="p"/>
          </m:rPr>
          <m:t>←</m:t>
        </m:r>
        <m:sSub>
          <m:e>
            <m:r>
              <m:t>β</m:t>
            </m:r>
          </m:e>
          <m:sub>
            <m:r>
              <m:t>6</m:t>
            </m:r>
          </m:sub>
        </m:sSub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mc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7</m:t>
            </m:r>
          </m:sub>
        </m:sSub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mc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8</m:t>
            </m:r>
          </m:sub>
        </m:sSub>
        <m:r>
          <m:rPr>
            <m:sty m:val="p"/>
          </m:rPr>
          <m:t>⋅</m:t>
        </m:r>
        <m:r>
          <m:rPr>
            <m:nor/>
            <m:sty m:val="p"/>
          </m:rPr>
          <m:t>root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9</m:t>
            </m:r>
          </m:sub>
        </m:sSub>
        <m:r>
          <m:rPr>
            <m:sty m:val="p"/>
          </m:rPr>
          <m:t>⋅</m:t>
        </m:r>
        <m:r>
          <m:rPr>
            <m:nor/>
            <m:sty m:val="p"/>
          </m:rPr>
          <m:t>land_use</m:t>
        </m:r>
      </m:oMath>
    </w:p>
    <w:p>
      <w:pPr>
        <w:pStyle w:val="FirstParagraph"/>
      </w:pPr>
      <w:r>
        <w:t xml:space="preserve">Indirect effects are computed as products of standardised path coefficients along each causal route. A total of seven pathway estimates are derived per window: five indirect routes, the total indirect (sum of the five), and the total effect (direct + total indirect).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dag"/>
          <w:p>
            <w:pPr>
              <w:pStyle w:val="Compact"/>
              <w:jc w:val="center"/>
            </w:pPr>
            <w:r>
              <w:drawing>
                <wp:inline>
                  <wp:extent cx="5073650" cy="358724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s/DA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3650" cy="3587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Structural Equation Meta-Model (DAG) detailing the hypothesized causal pathways.</w:t>
            </w:r>
          </w:p>
          <w:bookmarkEnd w:id="27"/>
        </w:tc>
      </w:tr>
    </w:tbl>
    <w:bookmarkEnd w:id="28"/>
    <w:bookmarkStart w:id="29" w:name="response-diversity-h3"/>
    <w:p>
      <w:pPr>
        <w:pStyle w:val="Titre2"/>
      </w:pPr>
      <w:r>
        <w:t xml:space="preserve">Response diversity (H3)</w:t>
      </w:r>
    </w:p>
    <w:p>
      <w:pPr>
        <w:pStyle w:val="FirstParagraph"/>
      </w:pPr>
      <w:r>
        <w:t xml:space="preserve">The rolling-window pSEM is fitted independently for six focal taxa:</w:t>
      </w:r>
      <w:r>
        <w:t xml:space="preserve"> </w:t>
      </w:r>
      <w:r>
        <w:rPr>
          <w:i/>
          <w:iCs/>
        </w:rPr>
        <w:t xml:space="preserve">Acari</w:t>
      </w:r>
      <w:r>
        <w:t xml:space="preserve">,</w:t>
      </w:r>
      <w:r>
        <w:t xml:space="preserve"> </w:t>
      </w:r>
      <w:r>
        <w:rPr>
          <w:i/>
          <w:iCs/>
        </w:rPr>
        <w:t xml:space="preserve">Collembola</w:t>
      </w:r>
      <w:r>
        <w:t xml:space="preserve">,</w:t>
      </w:r>
      <w:r>
        <w:t xml:space="preserve"> </w:t>
      </w:r>
      <w:r>
        <w:rPr>
          <w:i/>
          <w:iCs/>
        </w:rPr>
        <w:t xml:space="preserve">Enchytraeidae</w:t>
      </w:r>
      <w:r>
        <w:t xml:space="preserve">,</w:t>
      </w:r>
      <w:r>
        <w:t xml:space="preserve"> </w:t>
      </w:r>
      <w:r>
        <w:rPr>
          <w:i/>
          <w:iCs/>
        </w:rPr>
        <w:t xml:space="preserve">Julida</w:t>
      </w:r>
      <w:r>
        <w:t xml:space="preserve">,</w:t>
      </w:r>
      <w:r>
        <w:t xml:space="preserve"> </w:t>
      </w:r>
      <w:r>
        <w:rPr>
          <w:i/>
          <w:iCs/>
        </w:rPr>
        <w:t xml:space="preserve">Gastropoda</w:t>
      </w:r>
      <w:r>
        <w:t xml:space="preserve">, and</w:t>
      </w:r>
      <w:r>
        <w:t xml:space="preserve"> </w:t>
      </w:r>
      <w:r>
        <w:rPr>
          <w:i/>
          <w:iCs/>
        </w:rPr>
        <w:t xml:space="preserve">Symphyla</w:t>
      </w:r>
      <w:r>
        <w:t xml:space="preserve">. Per-window divergence in taxon-specific β-estimates is quantified using the index of Ross et al. (2023):</w:t>
      </w:r>
    </w:p>
    <w:p>
      <w:pPr>
        <w:pStyle w:val="SourceCode"/>
      </w:pPr>
      <w:r>
        <w:rPr>
          <w:rStyle w:val="VerbatimChar"/>
        </w:rPr>
        <w:t xml:space="preserve">D(w,k) = [max(β) − min(β) − |max(β) + min(β)|] / [max(β) − min(β)]</w:t>
      </w:r>
    </w:p>
    <w:p>
      <w:pPr>
        <w:pStyle w:val="FirstParagraph"/>
      </w:pPr>
      <w:r>
        <w:t xml:space="preserve">D = 1 when taxon responses span zero symmetrically (half positive, half negative); D = 0 when all taxa respond in the same direction. The relationship between D and the absolute community-level β is modelled with a GLS incorporating an AR(1) error structure.</w:t>
      </w:r>
    </w:p>
    <w:bookmarkEnd w:id="29"/>
    <w:bookmarkStart w:id="30" w:name="pipeline"/>
    <w:p>
      <w:pPr>
        <w:pStyle w:val="Titre2"/>
      </w:pPr>
      <w:r>
        <w:t xml:space="preserve">Pipeline</w:t>
      </w:r>
    </w:p>
    <w:p>
      <w:pPr>
        <w:pStyle w:val="FirstParagraph"/>
      </w:pPr>
      <w:r>
        <w:t xml:space="preserve">Scripts must be run in order. Script 2 is computationally intensive.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1_database_edition.qmd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Assembles fauna, microclimate, root, and season data into one analysis-ready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SEM_database.csv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fauna_vars.txt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microclimate_index.txt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2_SEM_diagnostic.qmd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analysis over 120 (window × completeness × transformation) combinations; selects the optimal modelling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model_parameters.txt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3_SEM_modelisation.qmd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the full rolling-window pSEM for all taxa; computes indirect effects and the divergence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SEM_results_database.csv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indirect_effects.csv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H1_*.csv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DAG_*.csv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4_SEM_results_analysis.qmd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Produces all figures and tables for H1–H3; no modelling performed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Fig1–Fig4</w:t>
            </w:r>
            <w:r>
              <w:t xml:space="preserve"> </w:t>
            </w:r>
            <w:r>
              <w:t xml:space="preserve">TIFF files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quarto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quarto_render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"scripts/1_database_edition.qmd"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quarto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quarto_render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"scripts/2_SEM_diagnostic.qmd"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quarto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quarto_render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"scripts/3_SEM_modelisation.qmd"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quarto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quarto_render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"scripts/4_SEM_results_analysis.qmd"</w:t>
      </w:r>
      <w:r>
        <w:rPr>
          <w:rStyle w:val="NormalTok"/>
        </w:rPr>
        <w:t xml:space="preserve">)</w:t>
      </w:r>
    </w:p>
    <w:bookmarkEnd w:id="30"/>
    <w:bookmarkStart w:id="31" w:name="repository-structure"/>
    <w:p>
      <w:pPr>
        <w:pStyle w:val="Titre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fauna_data.csv                  # Raw invertebrate detections</w:t>
      </w:r>
      <w:r>
        <w:br/>
      </w:r>
      <w:r>
        <w:rPr>
          <w:rStyle w:val="VerbatimChar"/>
        </w:rPr>
        <w:t xml:space="preserve">│   ├── root_pixels_count.csv           # Root pixel counts per image</w:t>
      </w:r>
      <w:r>
        <w:br/>
      </w:r>
      <w:r>
        <w:rPr>
          <w:rStyle w:val="VerbatimChar"/>
        </w:rPr>
        <w:t xml:space="preserve">│   ├── Diams_AF1W_soil.csv             # Soil temperature and moisture</w:t>
      </w:r>
      <w:r>
        <w:br/>
      </w:r>
      <w:r>
        <w:rPr>
          <w:rStyle w:val="VerbatimChar"/>
        </w:rPr>
        <w:t xml:space="preserve">│   └── Diams_AF1W_air.csv              # Air temperature and humidity</w:t>
      </w:r>
      <w:r>
        <w:br/>
      </w:r>
      <w:r>
        <w:rPr>
          <w:rStyle w:val="VerbatimChar"/>
        </w:rPr>
        <w:t xml:space="preserve">├── output/                             # Generated by the pipeline — not versioned</w:t>
      </w:r>
      <w:r>
        <w:br/>
      </w:r>
      <w:r>
        <w:rPr>
          <w:rStyle w:val="VerbatimChar"/>
        </w:rPr>
        <w:t xml:space="preserve">│   ├── SEM_database.csv</w:t>
      </w:r>
      <w:r>
        <w:br/>
      </w:r>
      <w:r>
        <w:rPr>
          <w:rStyle w:val="VerbatimChar"/>
        </w:rPr>
        <w:t xml:space="preserve">│   ├── microclimate_index.txt</w:t>
      </w:r>
      <w:r>
        <w:br/>
      </w:r>
      <w:r>
        <w:rPr>
          <w:rStyle w:val="VerbatimChar"/>
        </w:rPr>
        <w:t xml:space="preserve">│   ├── fauna_vars.txt</w:t>
      </w:r>
      <w:r>
        <w:br/>
      </w:r>
      <w:r>
        <w:rPr>
          <w:rStyle w:val="VerbatimChar"/>
        </w:rPr>
        <w:t xml:space="preserve">│   ├── model_parameters.txt</w:t>
      </w:r>
      <w:r>
        <w:br/>
      </w:r>
      <w:r>
        <w:rPr>
          <w:rStyle w:val="VerbatimChar"/>
        </w:rPr>
        <w:t xml:space="preserve">│   ├── SEM_results_database.csv</w:t>
      </w:r>
      <w:r>
        <w:br/>
      </w:r>
      <w:r>
        <w:rPr>
          <w:rStyle w:val="VerbatimChar"/>
        </w:rPr>
        <w:t xml:space="preserve">│   ├── indirect_effects.csv</w:t>
      </w:r>
      <w:r>
        <w:br/>
      </w:r>
      <w:r>
        <w:rPr>
          <w:rStyle w:val="VerbatimChar"/>
        </w:rPr>
        <w:t xml:space="preserve">│   ├── H1_adjusted_values.csv</w:t>
      </w:r>
      <w:r>
        <w:br/>
      </w:r>
      <w:r>
        <w:rPr>
          <w:rStyle w:val="VerbatimChar"/>
        </w:rPr>
        <w:t xml:space="preserve">│   ├── H1_model_summary.csv</w:t>
      </w:r>
      <w:r>
        <w:br/>
      </w:r>
      <w:r>
        <w:rPr>
          <w:rStyle w:val="VerbatimChar"/>
        </w:rPr>
        <w:t xml:space="preserve">│   ├── DAG_coefficients.csv</w:t>
      </w:r>
      <w:r>
        <w:br/>
      </w:r>
      <w:r>
        <w:rPr>
          <w:rStyle w:val="VerbatimChar"/>
        </w:rPr>
        <w:t xml:space="preserve">│   ├── DAG_model_fit.csv</w:t>
      </w:r>
      <w:r>
        <w:br/>
      </w:r>
      <w:r>
        <w:rPr>
          <w:rStyle w:val="VerbatimChar"/>
        </w:rPr>
        <w:t xml:space="preserve">│   └── Fig*.tiff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1_database_edition.qmd</w:t>
      </w:r>
      <w:r>
        <w:br/>
      </w:r>
      <w:r>
        <w:rPr>
          <w:rStyle w:val="VerbatimChar"/>
        </w:rPr>
        <w:t xml:space="preserve">    ├── 2_SEM_diagnostic.qmd</w:t>
      </w:r>
      <w:r>
        <w:br/>
      </w:r>
      <w:r>
        <w:rPr>
          <w:rStyle w:val="VerbatimChar"/>
        </w:rPr>
        <w:t xml:space="preserve">    ├── 3_SEM_modelisation.qmd</w:t>
      </w:r>
      <w:r>
        <w:br/>
      </w:r>
      <w:r>
        <w:rPr>
          <w:rStyle w:val="VerbatimChar"/>
        </w:rPr>
        <w:t xml:space="preserve">    └── 4_SEM_results_analysis.qmd</w:t>
      </w:r>
    </w:p>
    <w:bookmarkEnd w:id="31"/>
    <w:bookmarkStart w:id="33" w:name="dependencies"/>
    <w:p>
      <w:pPr>
        <w:pStyle w:val="Titre2"/>
      </w:pPr>
      <w:r>
        <w:t xml:space="preserve">Dependencies</w:t>
      </w:r>
    </w:p>
    <w:p>
      <w:pPr>
        <w:pStyle w:val="FirstParagraph"/>
      </w:pPr>
      <w:r>
        <w:t xml:space="preserve">All analyses were performed in</w:t>
      </w:r>
      <w:r>
        <w:t xml:space="preserve"> </w:t>
      </w:r>
      <w:r>
        <w:rPr>
          <w:b/>
          <w:bCs/>
        </w:rPr>
        <w:t xml:space="preserve">R 4.5.2</w:t>
      </w:r>
      <w:r>
        <w:t xml:space="preserve">. Core packages: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tidyverse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wrangling and visualisation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mixed-effects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piecewiseSEM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Piecewise structural equation modelling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 via variance partitioning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High-performance rolling joins for root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Microclimate PCA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Rolling-window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composition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scanner-based imaging methodology is described in:</w:t>
      </w:r>
    </w:p>
    <w:p>
      <w:pPr>
        <w:pStyle w:val="Normalcentr"/>
      </w:pPr>
      <w:r>
        <w:t xml:space="preserve">Belaud E., Jourdan C., Barry-Etienne D., Marsden C., Robin A., Taschen E., Hedde M. (2024). In situ soil imaging, a tool for monitoring the hourly to monthly temporal dynamics of soil biota.</w:t>
      </w:r>
      <w:r>
        <w:t xml:space="preserve"> </w:t>
      </w:r>
      <w:r>
        <w:rPr>
          <w:i/>
          <w:iCs/>
        </w:rPr>
        <w:t xml:space="preserve">Biology and Fertility of Soils</w:t>
      </w:r>
      <w:r>
        <w:t xml:space="preserve"> </w:t>
      </w:r>
      <w:r>
        <w:t xml:space="preserve">60, 1055–1071.</w:t>
      </w:r>
      <w:r>
        <w:t xml:space="preserve"> </w:t>
      </w:r>
      <w:hyperlink r:id="rId32">
        <w:r>
          <w:rPr>
            <w:rStyle w:val="Lienhypertexte"/>
          </w:rPr>
          <w:t xml:space="preserve">https://doi.org/10.1007/s00374-024-01851-8</w:t>
        </w:r>
      </w:hyperlink>
    </w:p>
    <w:bookmarkEnd w:id="33"/>
    <w:sectPr w:rsidR="00222FC8" w:rsidRPr="00190D94">
      <w:pgSz w:h="15840" w:w="12240"/>
      <w:pgMar w:bottom="1417" w:footer="720" w:gutter="0" w:header="720" w:left="1417" w:right="1417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7916D5D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2FC8"/>
    <w:rsid w:val="00190D94"/>
    <w:rsid w:val="00222FC8"/>
    <w:rsid w:val="00990DA5"/>
    <w:rsid w:val="00B5502D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Arial" w:eastAsia="Times New Roman" w:hAnsi="Arial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uiPriority w:val="9"/>
    <w:qFormat/>
    <w:pPr>
      <w:keepNext/>
      <w:keepLines/>
      <w:spacing w:after="120" w:before="360"/>
      <w:outlineLvl w:val="0"/>
    </w:pPr>
    <w:rPr>
      <w:b/>
      <w:bCs/>
      <w:color w:val="000000"/>
      <w:sz w:val="30"/>
      <w:szCs w:val="30"/>
    </w:rPr>
  </w:style>
  <w:style w:styleId="Titre2" w:type="paragraph">
    <w:name w:val="heading 2"/>
    <w:basedOn w:val="Normal"/>
    <w:next w:val="Corpsdetexte"/>
    <w:uiPriority w:val="9"/>
    <w:unhideWhenUsed/>
    <w:qFormat/>
    <w:pPr>
      <w:keepNext/>
      <w:keepLines/>
      <w:spacing w:after="80" w:before="240"/>
      <w:outlineLvl w:val="1"/>
    </w:pPr>
    <w:rPr>
      <w:b/>
      <w:bCs/>
      <w:color w:val="000000"/>
      <w:sz w:val="26"/>
      <w:szCs w:val="26"/>
    </w:rPr>
  </w:style>
  <w:style w:styleId="Titre3" w:type="paragraph">
    <w:name w:val="heading 3"/>
    <w:basedOn w:val="Normal"/>
    <w:next w:val="Corpsdetexte"/>
    <w:uiPriority w:val="9"/>
    <w:unhideWhenUsed/>
    <w:qFormat/>
    <w:pPr>
      <w:keepNext/>
      <w:keepLines/>
      <w:spacing w:after="0" w:before="200"/>
      <w:outlineLvl w:val="2"/>
    </w:pPr>
    <w:rPr>
      <w:b/>
      <w:bCs/>
      <w:color w:val="000000"/>
      <w:sz w:val="24"/>
      <w:szCs w:val="24"/>
    </w:rPr>
  </w:style>
  <w:style w:styleId="Titre4" w:type="paragraph">
    <w:name w:val="heading 4"/>
    <w:basedOn w:val="Normal"/>
    <w:next w:val="Corpsdetexte"/>
    <w:uiPriority w:val="9"/>
    <w:unhideWhenUsed/>
    <w:qFormat/>
    <w:pPr>
      <w:keepNext/>
      <w:keepLines/>
      <w:spacing w:after="0" w:before="200"/>
      <w:outlineLvl w:val="3"/>
    </w:pPr>
    <w:rPr>
      <w:bCs/>
      <w:i/>
      <w:color w:val="000000"/>
      <w:sz w:val="24"/>
      <w:szCs w:val="24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iCs/>
      <w:color w:val="000000"/>
      <w:sz w:val="24"/>
      <w:szCs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color w:val="000000"/>
      <w:sz w:val="24"/>
      <w:szCs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color w:val="000000"/>
      <w:sz w:val="24"/>
      <w:szCs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color w:val="000000"/>
      <w:sz w:val="24"/>
      <w:szCs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color w:val="000000"/>
      <w:sz w:val="24"/>
      <w:szCs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qFormat/>
    <w:pPr>
      <w:keepNext/>
      <w:keepLines/>
      <w:spacing w:after="120" w:before="480"/>
    </w:pPr>
    <w:rPr>
      <w:b/>
      <w:bCs/>
      <w:color w:val="000000"/>
      <w:sz w:val="40"/>
      <w:szCs w:val="40"/>
    </w:rPr>
  </w:style>
  <w:style w:styleId="Sous-titre" w:type="paragraph">
    <w:name w:val="Subtitle"/>
    <w:basedOn w:val="Titre"/>
    <w:next w:val="Corpsdetexte"/>
    <w:qFormat/>
    <w:pPr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000000"/>
      <w:sz w:val="20"/>
      <w:szCs w:val="20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1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  <w:ind w:left="480" w:right="480"/>
    </w:p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val="000000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2" Target="https://doi.org/10.1007/s00374-024-01851-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7/s00374-024-01851-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Land-use effects on soil fauna are temporally unstable</dc:title>
  <dc:creator/>
  <cp:keywords/>
  <dcterms:created xsi:type="dcterms:W3CDTF">2026-06-09T08:50:07Z</dcterms:created>
  <dcterms:modified xsi:type="dcterms:W3CDTF">2026-06-09T08:50:07Z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