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BB39DF" w:rsidP="003F786B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A27725">
        <w:rPr>
          <w:rFonts w:asciiTheme="majorHAnsi" w:hAnsiTheme="majorHAnsi" w:cstheme="majorHAnsi"/>
          <w:b/>
          <w:bCs/>
          <w:color w:val="000000" w:themeColor="text1"/>
        </w:rPr>
        <w:t>ŠTATOVEDA</w:t>
      </w: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</w:p>
    <w:p w:rsidR="003F786B" w:rsidRPr="00A27725" w:rsidRDefault="00BB39DF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A27725">
        <w:rPr>
          <w:rFonts w:asciiTheme="majorHAnsi" w:hAnsiTheme="majorHAnsi" w:cstheme="majorHAnsi"/>
          <w:color w:val="000000" w:themeColor="text1"/>
        </w:rPr>
        <w:t>1</w:t>
      </w:r>
      <w:r w:rsidR="00734DFF">
        <w:rPr>
          <w:rFonts w:asciiTheme="majorHAnsi" w:hAnsiTheme="majorHAnsi" w:cstheme="majorHAnsi"/>
          <w:color w:val="000000" w:themeColor="text1"/>
        </w:rPr>
        <w:t>5.11</w:t>
      </w:r>
      <w:r w:rsidR="003F786B" w:rsidRPr="00A27725">
        <w:rPr>
          <w:rFonts w:asciiTheme="majorHAnsi" w:hAnsiTheme="majorHAnsi" w:cstheme="majorHAnsi"/>
          <w:color w:val="000000" w:themeColor="text1"/>
        </w:rPr>
        <w:t>.2019</w:t>
      </w:r>
    </w:p>
    <w:p w:rsidR="003F786B" w:rsidRPr="00A27725" w:rsidRDefault="003F786B" w:rsidP="003F786B">
      <w:pPr>
        <w:jc w:val="center"/>
        <w:rPr>
          <w:rFonts w:asciiTheme="majorHAnsi" w:hAnsiTheme="majorHAnsi" w:cstheme="majorHAnsi"/>
          <w:color w:val="000000" w:themeColor="text1"/>
        </w:rPr>
      </w:pPr>
      <w:r w:rsidRPr="00A27725">
        <w:rPr>
          <w:rFonts w:asciiTheme="majorHAnsi" w:hAnsiTheme="majorHAnsi" w:cstheme="majorHAnsi"/>
          <w:color w:val="000000" w:themeColor="text1"/>
        </w:rPr>
        <w:t>(hod. 0</w:t>
      </w:r>
      <w:r w:rsidR="00734DFF">
        <w:rPr>
          <w:rFonts w:asciiTheme="majorHAnsi" w:hAnsiTheme="majorHAnsi" w:cstheme="majorHAnsi"/>
          <w:color w:val="000000" w:themeColor="text1"/>
        </w:rPr>
        <w:t>3</w:t>
      </w:r>
      <w:r w:rsidRPr="00A27725">
        <w:rPr>
          <w:rFonts w:asciiTheme="majorHAnsi" w:hAnsiTheme="majorHAnsi" w:cstheme="majorHAnsi"/>
          <w:color w:val="000000" w:themeColor="text1"/>
        </w:rPr>
        <w:t>)</w:t>
      </w:r>
    </w:p>
    <w:p w:rsidR="003F786B" w:rsidRPr="00A27725" w:rsidRDefault="003F786B" w:rsidP="003F786B">
      <w:pPr>
        <w:jc w:val="center"/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  <w:sectPr w:rsidR="003F786B" w:rsidRPr="00A27725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p w:rsidR="004118AE" w:rsidRPr="00A27725" w:rsidRDefault="004118AE">
      <w:pPr>
        <w:rPr>
          <w:rFonts w:asciiTheme="majorHAnsi" w:hAnsiTheme="majorHAnsi" w:cstheme="majorHAnsi"/>
          <w:color w:val="000000" w:themeColor="text1"/>
        </w:rPr>
      </w:pPr>
      <w:r w:rsidRPr="00A27725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eastAsiaTheme="minorHAnsi" w:cstheme="majorHAnsi"/>
          <w:color w:val="000000" w:themeColor="text1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A27725" w:rsidRDefault="003F786B">
          <w:pPr>
            <w:pStyle w:val="Hlavikaobsahu"/>
            <w:rPr>
              <w:rFonts w:cstheme="majorHAnsi"/>
              <w:b/>
              <w:bCs/>
              <w:color w:val="000000" w:themeColor="text1"/>
            </w:rPr>
          </w:pPr>
          <w:r w:rsidRPr="00A27725">
            <w:rPr>
              <w:rFonts w:cstheme="majorHAnsi"/>
              <w:b/>
              <w:bCs/>
              <w:color w:val="000000" w:themeColor="text1"/>
            </w:rPr>
            <w:t>Obsah</w:t>
          </w:r>
        </w:p>
        <w:p w:rsidR="00F42F00" w:rsidRPr="00A27725" w:rsidRDefault="00F42F00" w:rsidP="00F42F00">
          <w:pPr>
            <w:rPr>
              <w:rFonts w:asciiTheme="majorHAnsi" w:hAnsiTheme="majorHAnsi" w:cstheme="majorHAnsi"/>
              <w:color w:val="000000" w:themeColor="text1"/>
              <w:lang w:eastAsia="sk-SK"/>
            </w:rPr>
          </w:pPr>
        </w:p>
        <w:p w:rsidR="00A27725" w:rsidRPr="00A27725" w:rsidRDefault="003F786B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r w:rsidRPr="00A27725">
            <w:rPr>
              <w:rFonts w:asciiTheme="majorHAnsi" w:hAnsiTheme="majorHAnsi" w:cstheme="majorHAnsi"/>
              <w:color w:val="000000" w:themeColor="text1"/>
            </w:rPr>
            <w:fldChar w:fldCharType="begin"/>
          </w:r>
          <w:r w:rsidRPr="00A27725">
            <w:rPr>
              <w:rFonts w:asciiTheme="majorHAnsi" w:hAnsiTheme="majorHAnsi" w:cstheme="majorHAnsi"/>
              <w:color w:val="000000" w:themeColor="text1"/>
            </w:rPr>
            <w:instrText xml:space="preserve"> TOC \o "1-3" \h \z \u </w:instrText>
          </w:r>
          <w:r w:rsidRPr="00A27725">
            <w:rPr>
              <w:rFonts w:asciiTheme="majorHAnsi" w:hAnsiTheme="majorHAnsi" w:cstheme="majorHAnsi"/>
              <w:color w:val="000000" w:themeColor="text1"/>
            </w:rPr>
            <w:fldChar w:fldCharType="separate"/>
          </w:r>
          <w:hyperlink w:anchor="_Toc24711644" w:history="1">
            <w:r w:rsidR="00A27725" w:rsidRPr="00A27725">
              <w:rPr>
                <w:rStyle w:val="Hypertextovprepojenie"/>
                <w:rFonts w:asciiTheme="majorHAnsi" w:hAnsiTheme="majorHAnsi" w:cstheme="majorHAnsi"/>
              </w:rPr>
              <w:t>Ústava</w:t>
            </w:r>
            <w:r w:rsidR="00A27725" w:rsidRPr="00A27725">
              <w:rPr>
                <w:rFonts w:asciiTheme="majorHAnsi" w:hAnsiTheme="majorHAnsi" w:cstheme="majorHAnsi"/>
                <w:webHidden/>
              </w:rPr>
              <w:tab/>
            </w:r>
            <w:r w:rsidR="00A27725" w:rsidRPr="00A27725">
              <w:rPr>
                <w:rFonts w:asciiTheme="majorHAnsi" w:hAnsiTheme="majorHAnsi" w:cstheme="majorHAnsi"/>
                <w:webHidden/>
              </w:rPr>
              <w:fldChar w:fldCharType="begin"/>
            </w:r>
            <w:r w:rsidR="00A27725" w:rsidRPr="00A27725">
              <w:rPr>
                <w:rFonts w:asciiTheme="majorHAnsi" w:hAnsiTheme="majorHAnsi" w:cstheme="majorHAnsi"/>
                <w:webHidden/>
              </w:rPr>
              <w:instrText xml:space="preserve"> PAGEREF _Toc24711644 \h </w:instrText>
            </w:r>
            <w:r w:rsidR="00A27725" w:rsidRPr="00A27725">
              <w:rPr>
                <w:rFonts w:asciiTheme="majorHAnsi" w:hAnsiTheme="majorHAnsi" w:cstheme="majorHAnsi"/>
                <w:webHidden/>
              </w:rPr>
            </w:r>
            <w:r w:rsidR="00A27725" w:rsidRPr="00A27725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27725" w:rsidRPr="00A27725">
              <w:rPr>
                <w:rFonts w:asciiTheme="majorHAnsi" w:hAnsiTheme="majorHAnsi" w:cstheme="majorHAnsi"/>
                <w:webHidden/>
              </w:rPr>
              <w:t>3</w:t>
            </w:r>
            <w:r w:rsidR="00A27725" w:rsidRPr="00A2772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A27725" w:rsidRPr="00A27725" w:rsidRDefault="00A27725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711645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Ústavná sila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_Toc24711645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7725" w:rsidRDefault="00A27725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711646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Právna obyčaj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_Toc24711646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1F6905" w:rsidRPr="001F6905" w:rsidRDefault="001F6905" w:rsidP="001F6905"/>
        <w:p w:rsidR="00A27725" w:rsidRPr="00A27725" w:rsidRDefault="00A27725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711647" w:history="1">
            <w:r w:rsidRPr="00A27725">
              <w:rPr>
                <w:rStyle w:val="Hypertextovprepojenie"/>
                <w:rFonts w:asciiTheme="majorHAnsi" w:hAnsiTheme="majorHAnsi" w:cstheme="majorHAnsi"/>
              </w:rPr>
              <w:t>Ústavodarná moc</w:t>
            </w:r>
            <w:r w:rsidRPr="00A27725">
              <w:rPr>
                <w:rFonts w:asciiTheme="majorHAnsi" w:hAnsiTheme="majorHAnsi" w:cstheme="majorHAnsi"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webHidden/>
              </w:rPr>
              <w:instrText xml:space="preserve"> PAGEREF _Toc24711647 \h </w:instrText>
            </w:r>
            <w:r w:rsidRPr="00A27725">
              <w:rPr>
                <w:rFonts w:asciiTheme="majorHAnsi" w:hAnsiTheme="majorHAnsi" w:cstheme="majorHAnsi"/>
                <w:webHidden/>
              </w:rPr>
            </w:r>
            <w:r w:rsidRPr="00A27725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webHidden/>
              </w:rPr>
              <w:t>4</w:t>
            </w:r>
            <w:r w:rsidRPr="00A2772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A27725" w:rsidRPr="00A27725" w:rsidRDefault="00A27725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711648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Pôvodná ústavodarná moc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_Toc24711648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7725" w:rsidRDefault="00A27725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711649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Odvodená ústavodarná moc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_Toc24711649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1F6905" w:rsidRPr="001F6905" w:rsidRDefault="001F6905" w:rsidP="001F6905"/>
        <w:p w:rsidR="00A27725" w:rsidRPr="00A27725" w:rsidRDefault="00A27725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711650" w:history="1">
            <w:r w:rsidRPr="00A27725">
              <w:rPr>
                <w:rStyle w:val="Hypertextovprepojenie"/>
                <w:rFonts w:asciiTheme="majorHAnsi" w:hAnsiTheme="majorHAnsi" w:cstheme="majorHAnsi"/>
              </w:rPr>
              <w:t>Hlava štátu, výkonná moc</w:t>
            </w:r>
            <w:r w:rsidRPr="00A27725">
              <w:rPr>
                <w:rFonts w:asciiTheme="majorHAnsi" w:hAnsiTheme="majorHAnsi" w:cstheme="majorHAnsi"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webHidden/>
              </w:rPr>
              <w:instrText xml:space="preserve"> PAGEREF _Toc24711650 \h </w:instrText>
            </w:r>
            <w:r w:rsidRPr="00A27725">
              <w:rPr>
                <w:rFonts w:asciiTheme="majorHAnsi" w:hAnsiTheme="majorHAnsi" w:cstheme="majorHAnsi"/>
                <w:webHidden/>
              </w:rPr>
            </w:r>
            <w:r w:rsidRPr="00A27725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webHidden/>
              </w:rPr>
              <w:t>4</w:t>
            </w:r>
            <w:r w:rsidRPr="00A2772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A27725" w:rsidRPr="00A27725" w:rsidRDefault="00A27725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711651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Formy vlády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_Toc24711651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7725" w:rsidRPr="00A27725" w:rsidRDefault="00A27725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711652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Priama a nepriama voľba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_Toc24711652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7725" w:rsidRDefault="00A27725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711653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Zastúpenie hlavy štátu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_Toc24711653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1F6905" w:rsidRPr="001F6905" w:rsidRDefault="001F6905" w:rsidP="001F6905"/>
        <w:p w:rsidR="00A27725" w:rsidRPr="00A27725" w:rsidRDefault="00A27725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711654" w:history="1">
            <w:r w:rsidRPr="00A27725">
              <w:rPr>
                <w:rStyle w:val="Hypertextovprepojenie"/>
                <w:rFonts w:asciiTheme="majorHAnsi" w:hAnsiTheme="majorHAnsi" w:cstheme="majorHAnsi"/>
              </w:rPr>
              <w:t>Súdna moc</w:t>
            </w:r>
            <w:r w:rsidRPr="00A27725">
              <w:rPr>
                <w:rFonts w:asciiTheme="majorHAnsi" w:hAnsiTheme="majorHAnsi" w:cstheme="majorHAnsi"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webHidden/>
              </w:rPr>
              <w:instrText xml:space="preserve"> PAGEREF _Toc24711654 \h </w:instrText>
            </w:r>
            <w:r w:rsidRPr="00A27725">
              <w:rPr>
                <w:rFonts w:asciiTheme="majorHAnsi" w:hAnsiTheme="majorHAnsi" w:cstheme="majorHAnsi"/>
                <w:webHidden/>
              </w:rPr>
            </w:r>
            <w:r w:rsidRPr="00A27725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webHidden/>
              </w:rPr>
              <w:t>5</w:t>
            </w:r>
            <w:r w:rsidRPr="00A2772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A27725" w:rsidRPr="00A27725" w:rsidRDefault="00A27725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711655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Nezávislosť súdnej moci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_Toc24711655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7725" w:rsidRPr="00A27725" w:rsidRDefault="00A27725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711656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Nestrannosť súdnej moci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_Toc24711656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7725" w:rsidRPr="00A27725" w:rsidRDefault="00A27725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711657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Procesné inštitúty v rámci súdnej moci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_Toc24711657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7725" w:rsidRPr="00A27725" w:rsidRDefault="00A27725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4711658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Ústavný súd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_Toc24711658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27725" w:rsidRDefault="00A27725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4711659" w:history="1">
            <w:r w:rsidRPr="00A27725">
              <w:rPr>
                <w:rStyle w:val="Hypertextovprepojenie"/>
                <w:rFonts w:asciiTheme="majorHAnsi" w:hAnsiTheme="majorHAnsi" w:cstheme="majorHAnsi"/>
                <w:noProof/>
              </w:rPr>
              <w:t>Súdna kontrola ústavnosti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instrText xml:space="preserve"> PAGEREF _Toc24711659 \h </w:instrTex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2772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1F6905" w:rsidRPr="001F6905" w:rsidRDefault="001F6905" w:rsidP="001F6905"/>
        <w:p w:rsidR="00A27725" w:rsidRPr="00A27725" w:rsidRDefault="00A27725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4711660" w:history="1">
            <w:r w:rsidRPr="00A27725">
              <w:rPr>
                <w:rStyle w:val="Hypertextovprepojenie"/>
                <w:rFonts w:asciiTheme="majorHAnsi" w:hAnsiTheme="majorHAnsi" w:cstheme="majorHAnsi"/>
              </w:rPr>
              <w:t>Zoznam pojmov</w:t>
            </w:r>
            <w:r w:rsidRPr="00A27725">
              <w:rPr>
                <w:rFonts w:asciiTheme="majorHAnsi" w:hAnsiTheme="majorHAnsi" w:cstheme="majorHAnsi"/>
                <w:webHidden/>
              </w:rPr>
              <w:tab/>
            </w:r>
            <w:r w:rsidRPr="00A27725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27725">
              <w:rPr>
                <w:rFonts w:asciiTheme="majorHAnsi" w:hAnsiTheme="majorHAnsi" w:cstheme="majorHAnsi"/>
                <w:webHidden/>
              </w:rPr>
              <w:instrText xml:space="preserve"> PAGEREF _Toc24711660 \h </w:instrText>
            </w:r>
            <w:r w:rsidRPr="00A27725">
              <w:rPr>
                <w:rFonts w:asciiTheme="majorHAnsi" w:hAnsiTheme="majorHAnsi" w:cstheme="majorHAnsi"/>
                <w:webHidden/>
              </w:rPr>
            </w:r>
            <w:r w:rsidRPr="00A27725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27725">
              <w:rPr>
                <w:rFonts w:asciiTheme="majorHAnsi" w:hAnsiTheme="majorHAnsi" w:cstheme="majorHAnsi"/>
                <w:webHidden/>
              </w:rPr>
              <w:t>7</w:t>
            </w:r>
            <w:r w:rsidRPr="00A27725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786B" w:rsidRPr="00A27725" w:rsidRDefault="003F786B">
          <w:pPr>
            <w:rPr>
              <w:rFonts w:asciiTheme="majorHAnsi" w:hAnsiTheme="majorHAnsi" w:cstheme="majorHAnsi"/>
              <w:color w:val="000000" w:themeColor="text1"/>
            </w:rPr>
          </w:pPr>
          <w:r w:rsidRPr="00A27725">
            <w:rPr>
              <w:rFonts w:asciiTheme="majorHAnsi" w:hAnsiTheme="majorHAnsi" w:cstheme="majorHAnsi"/>
              <w:color w:val="000000" w:themeColor="text1"/>
            </w:rPr>
            <w:fldChar w:fldCharType="end"/>
          </w:r>
        </w:p>
      </w:sdtContent>
    </w:sdt>
    <w:p w:rsidR="003F786B" w:rsidRPr="00A27725" w:rsidRDefault="003F786B" w:rsidP="003F786B">
      <w:pPr>
        <w:rPr>
          <w:rFonts w:asciiTheme="majorHAnsi" w:hAnsiTheme="majorHAnsi" w:cstheme="majorHAnsi"/>
          <w:color w:val="000000" w:themeColor="text1"/>
        </w:rPr>
      </w:pPr>
      <w:bookmarkStart w:id="0" w:name="_GoBack"/>
      <w:bookmarkEnd w:id="0"/>
    </w:p>
    <w:p w:rsidR="003F786B" w:rsidRPr="00A27725" w:rsidRDefault="003F786B">
      <w:pPr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  <w:r w:rsidRPr="00A27725">
        <w:rPr>
          <w:rFonts w:asciiTheme="majorHAnsi" w:hAnsiTheme="majorHAnsi" w:cstheme="majorHAnsi"/>
          <w:color w:val="000000" w:themeColor="text1"/>
        </w:rPr>
        <w:br w:type="page"/>
      </w:r>
    </w:p>
    <w:p w:rsidR="00090C6A" w:rsidRPr="00A27725" w:rsidRDefault="00822F21" w:rsidP="00822F21">
      <w:pPr>
        <w:pStyle w:val="Nadpis1"/>
        <w:rPr>
          <w:rFonts w:cstheme="majorHAnsi"/>
          <w:b/>
          <w:bCs/>
          <w:color w:val="auto"/>
        </w:rPr>
      </w:pPr>
      <w:bookmarkStart w:id="1" w:name="_Toc24711644"/>
      <w:r w:rsidRPr="00A27725">
        <w:rPr>
          <w:rFonts w:cstheme="majorHAnsi"/>
          <w:b/>
          <w:bCs/>
          <w:color w:val="auto"/>
        </w:rPr>
        <w:t>Ústava</w:t>
      </w:r>
      <w:bookmarkEnd w:id="1"/>
    </w:p>
    <w:p w:rsidR="00822F21" w:rsidRPr="00A27725" w:rsidRDefault="00822F21" w:rsidP="00822F21">
      <w:pPr>
        <w:rPr>
          <w:rFonts w:asciiTheme="majorHAnsi" w:hAnsiTheme="majorHAnsi" w:cstheme="majorHAnsi"/>
        </w:rPr>
      </w:pPr>
    </w:p>
    <w:p w:rsidR="00822F21" w:rsidRPr="00A27725" w:rsidRDefault="00822F21" w:rsidP="00822F21">
      <w:pPr>
        <w:jc w:val="both"/>
        <w:rPr>
          <w:rFonts w:asciiTheme="majorHAnsi" w:hAnsiTheme="majorHAnsi" w:cstheme="majorHAnsi"/>
        </w:rPr>
      </w:pPr>
      <w:r w:rsidRPr="00A27725">
        <w:rPr>
          <w:rFonts w:asciiTheme="majorHAnsi" w:hAnsiTheme="majorHAnsi" w:cstheme="majorHAnsi"/>
          <w:b/>
          <w:bCs/>
        </w:rPr>
        <w:t>Konštitúcia</w:t>
      </w:r>
      <w:r w:rsidRPr="00A27725">
        <w:rPr>
          <w:rFonts w:asciiTheme="majorHAnsi" w:hAnsiTheme="majorHAnsi" w:cstheme="majorHAnsi"/>
        </w:rPr>
        <w:t xml:space="preserve"> – súhrn všetkých pravidiel ktoré: ochraňujú základné práva, (upravujú status jednotlivca), upravujú právomoci štátnych orgánov – dve nohy ústavy. Je to súhrn písaných alebo nepísaných pravidiel, keď je napísaná tak nemusí byť napísaná iba ako jeden dokument. Každý štát ústavu má, ajkeď nie je písaná</w:t>
      </w:r>
      <w:r w:rsidR="00F17730" w:rsidRPr="00A27725">
        <w:rPr>
          <w:rFonts w:asciiTheme="majorHAnsi" w:hAnsiTheme="majorHAnsi" w:cstheme="majorHAnsi"/>
        </w:rPr>
        <w:t xml:space="preserve"> – každý štát má minimálne ústavu v materiálnom zmysle</w:t>
      </w:r>
      <w:r w:rsidRPr="00A27725">
        <w:rPr>
          <w:rFonts w:asciiTheme="majorHAnsi" w:hAnsiTheme="majorHAnsi" w:cstheme="majorHAnsi"/>
        </w:rPr>
        <w:t xml:space="preserve"> (ústava v materiálnom zmysle a ústava vo formálnom zmysle).</w:t>
      </w:r>
      <w:r w:rsidR="002A686A" w:rsidRPr="00A27725">
        <w:rPr>
          <w:rFonts w:asciiTheme="majorHAnsi" w:hAnsiTheme="majorHAnsi" w:cstheme="majorHAnsi"/>
        </w:rPr>
        <w:t xml:space="preserve"> Výkon moci v štáte sa musí niečím riadiť.</w:t>
      </w:r>
    </w:p>
    <w:p w:rsidR="00B0103B" w:rsidRPr="00A27725" w:rsidRDefault="00B0103B" w:rsidP="00B0103B">
      <w:pPr>
        <w:pStyle w:val="01"/>
        <w:numPr>
          <w:ilvl w:val="0"/>
          <w:numId w:val="36"/>
        </w:numPr>
        <w:spacing w:after="0"/>
      </w:pPr>
      <w:r w:rsidRPr="00A27725">
        <w:rPr>
          <w:b/>
          <w:bCs/>
        </w:rPr>
        <w:t>Monolegálna</w:t>
      </w:r>
      <w:r w:rsidR="00DA25E0" w:rsidRPr="00A27725">
        <w:rPr>
          <w:b/>
          <w:bCs/>
        </w:rPr>
        <w:fldChar w:fldCharType="begin"/>
      </w:r>
      <w:r w:rsidR="00DA25E0" w:rsidRPr="00A27725">
        <w:instrText xml:space="preserve"> XE "</w:instrText>
      </w:r>
      <w:proofErr w:type="spellStart"/>
      <w:r w:rsidR="00DA25E0" w:rsidRPr="00A27725">
        <w:instrText>monolegálna</w:instrText>
      </w:r>
      <w:proofErr w:type="spellEnd"/>
      <w:r w:rsidR="00DA25E0" w:rsidRPr="00A27725">
        <w:instrText xml:space="preserve"> ústava" </w:instrText>
      </w:r>
      <w:r w:rsidR="00DA25E0" w:rsidRPr="00A27725">
        <w:rPr>
          <w:b/>
          <w:bCs/>
        </w:rPr>
        <w:fldChar w:fldCharType="end"/>
      </w:r>
      <w:r w:rsidRPr="00A27725">
        <w:t xml:space="preserve"> ústava – jeden dokument, ktorý môže byť aj novelizovaný.</w:t>
      </w:r>
    </w:p>
    <w:p w:rsidR="00B0103B" w:rsidRPr="00A27725" w:rsidRDefault="00B0103B" w:rsidP="00B0103B">
      <w:pPr>
        <w:pStyle w:val="01"/>
        <w:numPr>
          <w:ilvl w:val="0"/>
          <w:numId w:val="36"/>
        </w:numPr>
      </w:pPr>
      <w:proofErr w:type="spellStart"/>
      <w:r w:rsidRPr="00A27725">
        <w:rPr>
          <w:b/>
          <w:bCs/>
        </w:rPr>
        <w:t>Polylegálna</w:t>
      </w:r>
      <w:proofErr w:type="spellEnd"/>
      <w:r w:rsidR="00DA25E0" w:rsidRPr="00A27725">
        <w:rPr>
          <w:b/>
          <w:bCs/>
        </w:rPr>
        <w:fldChar w:fldCharType="begin"/>
      </w:r>
      <w:r w:rsidR="00DA25E0" w:rsidRPr="00A27725">
        <w:instrText xml:space="preserve"> XE "</w:instrText>
      </w:r>
      <w:proofErr w:type="spellStart"/>
      <w:r w:rsidR="00DA25E0" w:rsidRPr="00A27725">
        <w:instrText>polylegálna</w:instrText>
      </w:r>
      <w:proofErr w:type="spellEnd"/>
      <w:r w:rsidR="00DA25E0" w:rsidRPr="00A27725">
        <w:instrText xml:space="preserve"> ústava" </w:instrText>
      </w:r>
      <w:r w:rsidR="00DA25E0" w:rsidRPr="00A27725">
        <w:rPr>
          <w:b/>
          <w:bCs/>
        </w:rPr>
        <w:fldChar w:fldCharType="end"/>
      </w:r>
      <w:r w:rsidRPr="00A27725">
        <w:t xml:space="preserve"> ústava – rozpadá sa do viacerých textov, napr. naša.</w:t>
      </w:r>
    </w:p>
    <w:p w:rsidR="00B0103B" w:rsidRPr="00A27725" w:rsidRDefault="00B0103B" w:rsidP="00B0103B">
      <w:pPr>
        <w:pStyle w:val="01"/>
        <w:numPr>
          <w:ilvl w:val="0"/>
          <w:numId w:val="36"/>
        </w:numPr>
        <w:spacing w:after="0"/>
      </w:pPr>
      <w:r w:rsidRPr="00A27725">
        <w:rPr>
          <w:b/>
          <w:bCs/>
        </w:rPr>
        <w:t>Flexibilná</w:t>
      </w:r>
      <w:r w:rsidRPr="00A27725">
        <w:t xml:space="preserve"> ústava – na jej zmenu stačí postup pre úpravu bežných zákonov.</w:t>
      </w:r>
    </w:p>
    <w:p w:rsidR="00B0103B" w:rsidRPr="00A27725" w:rsidRDefault="00B0103B" w:rsidP="00B0103B">
      <w:pPr>
        <w:pStyle w:val="01"/>
        <w:numPr>
          <w:ilvl w:val="0"/>
          <w:numId w:val="36"/>
        </w:numPr>
      </w:pPr>
      <w:r w:rsidRPr="00A27725">
        <w:rPr>
          <w:b/>
          <w:bCs/>
        </w:rPr>
        <w:t>Rigidná</w:t>
      </w:r>
      <w:r w:rsidR="00DA25E0" w:rsidRPr="00A27725">
        <w:rPr>
          <w:b/>
          <w:bCs/>
        </w:rPr>
        <w:fldChar w:fldCharType="begin"/>
      </w:r>
      <w:r w:rsidR="00DA25E0" w:rsidRPr="00A27725">
        <w:instrText xml:space="preserve"> XE "rigidná ústava" </w:instrText>
      </w:r>
      <w:r w:rsidR="00DA25E0" w:rsidRPr="00A27725">
        <w:rPr>
          <w:b/>
          <w:bCs/>
        </w:rPr>
        <w:fldChar w:fldCharType="end"/>
      </w:r>
      <w:r w:rsidRPr="00A27725">
        <w:t xml:space="preserve"> ústava – jej zmena je oproti bežnému legislatívnemu procesu sťažená.</w:t>
      </w:r>
    </w:p>
    <w:p w:rsidR="00CD685B" w:rsidRPr="00A27725" w:rsidRDefault="00CD685B" w:rsidP="00CD685B">
      <w:pPr>
        <w:jc w:val="both"/>
        <w:rPr>
          <w:rFonts w:asciiTheme="majorHAnsi" w:hAnsiTheme="majorHAnsi" w:cstheme="majorHAnsi"/>
        </w:rPr>
      </w:pPr>
      <w:r w:rsidRPr="00A27725">
        <w:rPr>
          <w:rFonts w:asciiTheme="majorHAnsi" w:hAnsiTheme="majorHAnsi" w:cstheme="majorHAnsi"/>
        </w:rPr>
        <w:t>Ústava je vo väčšine krajín základným normatívnym aktom</w:t>
      </w:r>
      <w:r w:rsidR="00DA25E0" w:rsidRPr="00A27725">
        <w:rPr>
          <w:rFonts w:asciiTheme="majorHAnsi" w:hAnsiTheme="majorHAnsi" w:cstheme="majorHAnsi"/>
        </w:rPr>
        <w:fldChar w:fldCharType="begin"/>
      </w:r>
      <w:r w:rsidR="00DA25E0" w:rsidRPr="00A27725">
        <w:rPr>
          <w:rFonts w:asciiTheme="majorHAnsi" w:hAnsiTheme="majorHAnsi" w:cstheme="majorHAnsi"/>
        </w:rPr>
        <w:instrText xml:space="preserve"> XE "normatívny akt" </w:instrText>
      </w:r>
      <w:r w:rsidR="00DA25E0" w:rsidRPr="00A27725">
        <w:rPr>
          <w:rFonts w:asciiTheme="majorHAnsi" w:hAnsiTheme="majorHAnsi" w:cstheme="majorHAnsi"/>
        </w:rPr>
        <w:fldChar w:fldCharType="end"/>
      </w:r>
      <w:r w:rsidRPr="00A27725">
        <w:rPr>
          <w:rFonts w:asciiTheme="majorHAnsi" w:hAnsiTheme="majorHAnsi" w:cstheme="majorHAnsi"/>
        </w:rPr>
        <w:t>, čiže normatívnym aktom najvyššej sily. „Pod-ústavné“ (t. j. všetky ostatné) zákony a predpisy nesmú svojím obsahom ústave odporovať, pretože sú normatívnymi aktami nižšej sily.</w:t>
      </w:r>
    </w:p>
    <w:p w:rsidR="00CD685B" w:rsidRPr="00A27725" w:rsidRDefault="00CD685B" w:rsidP="00CD685B">
      <w:pPr>
        <w:pStyle w:val="01"/>
      </w:pPr>
      <w:r w:rsidRPr="00A27725">
        <w:t>Prvé ústavy vznikali so zánikom absolutistických monarchií (koniec 18.- 19. stor.) a so vznikom parlamentarizmu.</w:t>
      </w:r>
    </w:p>
    <w:p w:rsidR="004235E4" w:rsidRPr="00A27725" w:rsidRDefault="00CD685B" w:rsidP="004235E4">
      <w:pPr>
        <w:pStyle w:val="11"/>
        <w:rPr>
          <w:rFonts w:cstheme="majorHAnsi"/>
        </w:rPr>
      </w:pPr>
      <w:bookmarkStart w:id="2" w:name="_Toc24711645"/>
      <w:r w:rsidRPr="00A27725">
        <w:rPr>
          <w:rFonts w:cstheme="majorHAnsi"/>
        </w:rPr>
        <w:t>Ústavná sila</w:t>
      </w:r>
      <w:bookmarkEnd w:id="2"/>
      <w:r w:rsidRPr="00A27725">
        <w:rPr>
          <w:rFonts w:cstheme="majorHAnsi"/>
        </w:rPr>
        <w:t xml:space="preserve"> </w:t>
      </w:r>
    </w:p>
    <w:p w:rsidR="00CD685B" w:rsidRPr="00A27725" w:rsidRDefault="004235E4" w:rsidP="00CD685B">
      <w:pPr>
        <w:pStyle w:val="01"/>
      </w:pPr>
      <w:r w:rsidRPr="00A27725">
        <w:t>M</w:t>
      </w:r>
      <w:r w:rsidR="00CD685B" w:rsidRPr="00A27725">
        <w:t xml:space="preserve">á dve zložky – </w:t>
      </w:r>
      <w:r w:rsidR="00CD685B" w:rsidRPr="00A27725">
        <w:rPr>
          <w:b/>
          <w:bCs/>
        </w:rPr>
        <w:t>corpus</w:t>
      </w:r>
      <w:r w:rsidR="00341A41" w:rsidRPr="00A27725">
        <w:t xml:space="preserve"> (hmotný základ)</w:t>
      </w:r>
      <w:r w:rsidR="00CD685B" w:rsidRPr="00A27725">
        <w:t xml:space="preserve"> a </w:t>
      </w:r>
      <w:proofErr w:type="spellStart"/>
      <w:r w:rsidR="00CD685B" w:rsidRPr="00A27725">
        <w:rPr>
          <w:b/>
          <w:bCs/>
        </w:rPr>
        <w:t>animus</w:t>
      </w:r>
      <w:proofErr w:type="spellEnd"/>
      <w:r w:rsidR="00CD685B" w:rsidRPr="00A27725">
        <w:t>. Corpus je</w:t>
      </w:r>
      <w:r w:rsidR="00341A41" w:rsidRPr="00A27725">
        <w:t xml:space="preserve"> opakovaná prax, ktorá je jasná, dlhodobá, ustálená, proti ktorej sa nevyskytuje žiaden protichodný postup. </w:t>
      </w:r>
      <w:proofErr w:type="spellStart"/>
      <w:r w:rsidR="00341A41" w:rsidRPr="00A27725">
        <w:t>Animus</w:t>
      </w:r>
      <w:proofErr w:type="spellEnd"/>
      <w:r w:rsidR="00341A41" w:rsidRPr="00A27725">
        <w:t xml:space="preserve"> je „</w:t>
      </w:r>
      <w:proofErr w:type="spellStart"/>
      <w:r w:rsidR="00341A41" w:rsidRPr="00A27725">
        <w:t>opinio</w:t>
      </w:r>
      <w:proofErr w:type="spellEnd"/>
      <w:r w:rsidR="00341A41" w:rsidRPr="00A27725">
        <w:t xml:space="preserve"> </w:t>
      </w:r>
      <w:proofErr w:type="spellStart"/>
      <w:r w:rsidR="00341A41" w:rsidRPr="00A27725">
        <w:t>iuris</w:t>
      </w:r>
      <w:proofErr w:type="spellEnd"/>
      <w:r w:rsidR="00DA25E0" w:rsidRPr="00A27725">
        <w:fldChar w:fldCharType="begin"/>
      </w:r>
      <w:r w:rsidR="00DA25E0" w:rsidRPr="00A27725">
        <w:instrText xml:space="preserve"> XE "</w:instrText>
      </w:r>
      <w:proofErr w:type="spellStart"/>
      <w:r w:rsidR="00DA25E0" w:rsidRPr="00A27725">
        <w:instrText>opinio</w:instrText>
      </w:r>
      <w:proofErr w:type="spellEnd"/>
      <w:r w:rsidR="00DA25E0" w:rsidRPr="00A27725">
        <w:instrText xml:space="preserve"> </w:instrText>
      </w:r>
      <w:proofErr w:type="spellStart"/>
      <w:r w:rsidR="00DA25E0" w:rsidRPr="00A27725">
        <w:instrText>iuris</w:instrText>
      </w:r>
      <w:proofErr w:type="spellEnd"/>
      <w:r w:rsidR="00DA25E0" w:rsidRPr="00A27725">
        <w:instrText xml:space="preserve">" </w:instrText>
      </w:r>
      <w:r w:rsidR="00DA25E0" w:rsidRPr="00A27725">
        <w:fldChar w:fldCharType="end"/>
      </w:r>
      <w:r w:rsidR="00341A41" w:rsidRPr="00A27725">
        <w:t>“, (</w:t>
      </w:r>
      <w:proofErr w:type="spellStart"/>
      <w:r w:rsidR="00341A41" w:rsidRPr="00A27725">
        <w:t>opinio</w:t>
      </w:r>
      <w:proofErr w:type="spellEnd"/>
      <w:r w:rsidR="00341A41" w:rsidRPr="00A27725">
        <w:t xml:space="preserve"> </w:t>
      </w:r>
      <w:proofErr w:type="spellStart"/>
      <w:r w:rsidR="00341A41" w:rsidRPr="00A27725">
        <w:t>juris</w:t>
      </w:r>
      <w:proofErr w:type="spellEnd"/>
      <w:r w:rsidR="00341A41" w:rsidRPr="00A27725">
        <w:t xml:space="preserve"> </w:t>
      </w:r>
      <w:proofErr w:type="spellStart"/>
      <w:r w:rsidR="00341A41" w:rsidRPr="00A27725">
        <w:t>sive</w:t>
      </w:r>
      <w:proofErr w:type="spellEnd"/>
      <w:r w:rsidR="00341A41" w:rsidRPr="00A27725">
        <w:t xml:space="preserve"> </w:t>
      </w:r>
      <w:proofErr w:type="spellStart"/>
      <w:r w:rsidR="00341A41" w:rsidRPr="00A27725">
        <w:t>necessitatis</w:t>
      </w:r>
      <w:proofErr w:type="spellEnd"/>
      <w:r w:rsidR="00DA25E0" w:rsidRPr="00A27725">
        <w:fldChar w:fldCharType="begin"/>
      </w:r>
      <w:r w:rsidR="00DA25E0" w:rsidRPr="00A27725">
        <w:instrText xml:space="preserve"> XE "</w:instrText>
      </w:r>
      <w:proofErr w:type="spellStart"/>
      <w:r w:rsidR="00DA25E0" w:rsidRPr="00A27725">
        <w:instrText>opinio</w:instrText>
      </w:r>
      <w:proofErr w:type="spellEnd"/>
      <w:r w:rsidR="00DA25E0" w:rsidRPr="00A27725">
        <w:instrText xml:space="preserve"> </w:instrText>
      </w:r>
      <w:proofErr w:type="spellStart"/>
      <w:r w:rsidR="00DA25E0" w:rsidRPr="00A27725">
        <w:instrText>juris</w:instrText>
      </w:r>
      <w:proofErr w:type="spellEnd"/>
      <w:r w:rsidR="00DA25E0" w:rsidRPr="00A27725">
        <w:instrText xml:space="preserve"> </w:instrText>
      </w:r>
      <w:proofErr w:type="spellStart"/>
      <w:r w:rsidR="00DA25E0" w:rsidRPr="00A27725">
        <w:instrText>sive</w:instrText>
      </w:r>
      <w:proofErr w:type="spellEnd"/>
      <w:r w:rsidR="00DA25E0" w:rsidRPr="00A27725">
        <w:instrText xml:space="preserve"> </w:instrText>
      </w:r>
      <w:proofErr w:type="spellStart"/>
      <w:r w:rsidR="00DA25E0" w:rsidRPr="00A27725">
        <w:instrText>necessitatis</w:instrText>
      </w:r>
      <w:proofErr w:type="spellEnd"/>
      <w:r w:rsidR="00DA25E0" w:rsidRPr="00A27725">
        <w:instrText xml:space="preserve">" </w:instrText>
      </w:r>
      <w:r w:rsidR="00DA25E0" w:rsidRPr="00A27725">
        <w:fldChar w:fldCharType="end"/>
      </w:r>
      <w:r w:rsidR="00341A41" w:rsidRPr="00A27725">
        <w:t>) je domnienka záväznosti</w:t>
      </w:r>
      <w:r w:rsidR="00A27725" w:rsidRPr="00A27725">
        <w:fldChar w:fldCharType="begin"/>
      </w:r>
      <w:r w:rsidR="00A27725" w:rsidRPr="00A27725">
        <w:instrText xml:space="preserve"> XE "domnienka záväznosti" </w:instrText>
      </w:r>
      <w:r w:rsidR="00A27725" w:rsidRPr="00A27725">
        <w:fldChar w:fldCharType="end"/>
      </w:r>
      <w:r w:rsidR="004746ED" w:rsidRPr="00A27725">
        <w:t>, (platnosti).</w:t>
      </w:r>
    </w:p>
    <w:p w:rsidR="004235E4" w:rsidRPr="00A27725" w:rsidRDefault="004235E4" w:rsidP="00CD685B">
      <w:pPr>
        <w:pStyle w:val="01"/>
      </w:pPr>
    </w:p>
    <w:p w:rsidR="00CD685B" w:rsidRPr="00A27725" w:rsidRDefault="00CD685B" w:rsidP="00CD685B">
      <w:pPr>
        <w:pStyle w:val="01"/>
      </w:pPr>
      <w:r w:rsidRPr="00A27725">
        <w:rPr>
          <w:b/>
          <w:bCs/>
        </w:rPr>
        <w:t>Ústavné judikatúry, ústavné texty a ústavné zvyklosti</w:t>
      </w:r>
      <w:r w:rsidRPr="00A27725">
        <w:t xml:space="preserve"> – záväzné.</w:t>
      </w:r>
    </w:p>
    <w:p w:rsidR="00646A9F" w:rsidRPr="00A27725" w:rsidRDefault="00646A9F" w:rsidP="00CD685B">
      <w:pPr>
        <w:pStyle w:val="01"/>
      </w:pPr>
      <w:r w:rsidRPr="00A27725">
        <w:rPr>
          <w:b/>
          <w:bCs/>
        </w:rPr>
        <w:t>Preambula</w:t>
      </w:r>
      <w:r w:rsidRPr="00A27725">
        <w:t xml:space="preserve"> ústavy – definuje základ ústavy. V našich podmienkach nemá právnu záväznosť.</w:t>
      </w:r>
    </w:p>
    <w:p w:rsidR="00646A9F" w:rsidRPr="00A27725" w:rsidRDefault="00646A9F" w:rsidP="00CD685B">
      <w:pPr>
        <w:pStyle w:val="01"/>
      </w:pPr>
    </w:p>
    <w:p w:rsidR="004235E4" w:rsidRPr="00A27725" w:rsidRDefault="00F17730" w:rsidP="004235E4">
      <w:pPr>
        <w:pStyle w:val="11"/>
        <w:rPr>
          <w:rFonts w:cstheme="majorHAnsi"/>
        </w:rPr>
      </w:pPr>
      <w:bookmarkStart w:id="3" w:name="_Toc24711646"/>
      <w:r w:rsidRPr="00A27725">
        <w:rPr>
          <w:rFonts w:cstheme="majorHAnsi"/>
        </w:rPr>
        <w:t>Právna obyčaj</w:t>
      </w:r>
      <w:bookmarkEnd w:id="3"/>
      <w:r w:rsidRPr="00A27725">
        <w:rPr>
          <w:rFonts w:cstheme="majorHAnsi"/>
        </w:rPr>
        <w:t xml:space="preserve"> </w:t>
      </w:r>
    </w:p>
    <w:p w:rsidR="00F17730" w:rsidRPr="00A27725" w:rsidRDefault="004235E4" w:rsidP="001E371B">
      <w:pPr>
        <w:pStyle w:val="01"/>
      </w:pPr>
      <w:r w:rsidRPr="00A27725">
        <w:t>N</w:t>
      </w:r>
      <w:r w:rsidR="00F17730" w:rsidRPr="00A27725">
        <w:t>efiguruje v žiadnom záväznom texte. Je to všeobecne akceptované a štátom (verejnou mocou) uznané pravidlo správania sa, ktoré sa vžilo do vedomia spoločnosti v dôsledku jeho logického, racionálneho základu, dlhodobého používania a opakovania úkonov, a ktoré je vymáhateľné štátom (verejnou mocou), ak sa porušuje.</w:t>
      </w:r>
    </w:p>
    <w:p w:rsidR="004746ED" w:rsidRPr="00A27725" w:rsidRDefault="004746ED" w:rsidP="001E371B">
      <w:pPr>
        <w:pStyle w:val="01"/>
      </w:pPr>
      <w:r w:rsidRPr="00A27725">
        <w:t>„konvalidovať</w:t>
      </w:r>
      <w:r w:rsidR="00A27725" w:rsidRPr="00A27725">
        <w:fldChar w:fldCharType="begin"/>
      </w:r>
      <w:r w:rsidR="00A27725" w:rsidRPr="00A27725">
        <w:instrText xml:space="preserve"> XE "konvalidovať" </w:instrText>
      </w:r>
      <w:r w:rsidR="00A27725" w:rsidRPr="00A27725">
        <w:fldChar w:fldCharType="end"/>
      </w:r>
      <w:r w:rsidRPr="00A27725">
        <w:t>“</w:t>
      </w:r>
    </w:p>
    <w:p w:rsidR="004235E4" w:rsidRPr="00A27725" w:rsidRDefault="004235E4">
      <w:pPr>
        <w:rPr>
          <w:rFonts w:asciiTheme="majorHAnsi" w:hAnsiTheme="majorHAnsi" w:cstheme="majorHAnsi"/>
        </w:rPr>
      </w:pPr>
      <w:r w:rsidRPr="00A27725">
        <w:rPr>
          <w:rFonts w:asciiTheme="majorHAnsi" w:hAnsiTheme="majorHAnsi" w:cstheme="majorHAnsi"/>
        </w:rPr>
        <w:br w:type="page"/>
      </w:r>
    </w:p>
    <w:p w:rsidR="001E371B" w:rsidRPr="00A27725" w:rsidRDefault="004235E4" w:rsidP="004235E4">
      <w:pPr>
        <w:pStyle w:val="1"/>
        <w:rPr>
          <w:rFonts w:cstheme="majorHAnsi"/>
        </w:rPr>
      </w:pPr>
      <w:bookmarkStart w:id="4" w:name="_Toc24711647"/>
      <w:r w:rsidRPr="00A27725">
        <w:rPr>
          <w:rFonts w:cstheme="majorHAnsi"/>
        </w:rPr>
        <w:t>Ústavodarná moc</w:t>
      </w:r>
      <w:bookmarkEnd w:id="4"/>
    </w:p>
    <w:p w:rsidR="004235E4" w:rsidRPr="00A27725" w:rsidRDefault="004235E4" w:rsidP="004235E4">
      <w:pPr>
        <w:pStyle w:val="01"/>
      </w:pPr>
    </w:p>
    <w:p w:rsidR="004235E4" w:rsidRPr="00A27725" w:rsidRDefault="004235E4" w:rsidP="004235E4">
      <w:pPr>
        <w:pStyle w:val="11"/>
        <w:rPr>
          <w:rFonts w:cstheme="majorHAnsi"/>
        </w:rPr>
      </w:pPr>
      <w:bookmarkStart w:id="5" w:name="_Toc24711648"/>
      <w:r w:rsidRPr="00A27725">
        <w:rPr>
          <w:rFonts w:cstheme="majorHAnsi"/>
        </w:rPr>
        <w:t>Pôvodná ústavodarná moc</w:t>
      </w:r>
      <w:bookmarkEnd w:id="5"/>
    </w:p>
    <w:p w:rsidR="004235E4" w:rsidRPr="00A27725" w:rsidRDefault="004235E4" w:rsidP="004235E4">
      <w:pPr>
        <w:pStyle w:val="01"/>
      </w:pPr>
      <w:r w:rsidRPr="00A27725">
        <w:t>Nie je to právna moc ale faktická – nie je regulovaná právom (revolučný akt)</w:t>
      </w:r>
      <w:r w:rsidR="001A260C" w:rsidRPr="00A27725">
        <w:t>, nedíva sa na to, čo bolo pred ňou</w:t>
      </w:r>
      <w:r w:rsidRPr="00A27725">
        <w:t>.</w:t>
      </w:r>
    </w:p>
    <w:p w:rsidR="004235E4" w:rsidRPr="00A27725" w:rsidRDefault="004235E4" w:rsidP="004235E4">
      <w:pPr>
        <w:pStyle w:val="11"/>
        <w:rPr>
          <w:rFonts w:cstheme="majorHAnsi"/>
        </w:rPr>
      </w:pPr>
      <w:bookmarkStart w:id="6" w:name="_Toc24711649"/>
      <w:r w:rsidRPr="00A27725">
        <w:rPr>
          <w:rFonts w:cstheme="majorHAnsi"/>
        </w:rPr>
        <w:t>Odvodená ústavodarná moc</w:t>
      </w:r>
      <w:bookmarkEnd w:id="6"/>
    </w:p>
    <w:p w:rsidR="004235E4" w:rsidRPr="00A27725" w:rsidRDefault="004235E4" w:rsidP="004235E4">
      <w:pPr>
        <w:pStyle w:val="01"/>
      </w:pPr>
      <w:r w:rsidRPr="00A27725">
        <w:t>Podriadená ústave, je to moc ustanovená (</w:t>
      </w:r>
      <w:proofErr w:type="spellStart"/>
      <w:r w:rsidRPr="00A27725">
        <w:t>pouvoir</w:t>
      </w:r>
      <w:proofErr w:type="spellEnd"/>
      <w:r w:rsidR="001A260C" w:rsidRPr="00A27725">
        <w:t xml:space="preserve"> </w:t>
      </w:r>
      <w:proofErr w:type="spellStart"/>
      <w:r w:rsidR="001A260C" w:rsidRPr="00A27725">
        <w:t>constitue</w:t>
      </w:r>
      <w:proofErr w:type="spellEnd"/>
      <w:r w:rsidR="001A260C" w:rsidRPr="00A27725">
        <w:t>). U nás môže ústavu meniť Národná rada, s určitými limitmi.</w:t>
      </w:r>
    </w:p>
    <w:p w:rsidR="001A260C" w:rsidRPr="00A27725" w:rsidRDefault="001A260C" w:rsidP="004235E4">
      <w:pPr>
        <w:pStyle w:val="01"/>
      </w:pPr>
      <w:r w:rsidRPr="00A27725">
        <w:rPr>
          <w:b/>
          <w:bCs/>
        </w:rPr>
        <w:t>Materiálne jadro ústavy</w:t>
      </w:r>
      <w:r w:rsidRPr="00A27725">
        <w:t xml:space="preserve"> – implicitné a</w:t>
      </w:r>
      <w:r w:rsidR="00EB162C" w:rsidRPr="00A27725">
        <w:t> </w:t>
      </w:r>
      <w:r w:rsidRPr="00A27725">
        <w:t>explicitné</w:t>
      </w:r>
      <w:r w:rsidR="00EB162C" w:rsidRPr="00A27725">
        <w:t xml:space="preserve"> :</w:t>
      </w:r>
    </w:p>
    <w:p w:rsidR="001A260C" w:rsidRPr="00A27725" w:rsidRDefault="001A260C" w:rsidP="004235E4">
      <w:pPr>
        <w:pStyle w:val="01"/>
      </w:pPr>
      <w:r w:rsidRPr="00A27725">
        <w:t>Hodnotový základ ústavy nie je totožný s materiálnym jadrom ústavy. Hodnotový základ ústavy tvoria hodnoty, z ktorých táto vychádza a zároveň sú prítomné v jej texte alebo aspoň predstavujú jeho preukázateľné pozadie. Materiálne jadro ústavy predstavujú tie jej časti (princípy), ktoré za súčasť svojho materiálneho jadra označí samotná ústava. Podstatné náležitosti demokratického a právneho štátu nie sú hodnotovým základom ústavy. Do neho patria demokracia a právny štát.</w:t>
      </w:r>
    </w:p>
    <w:p w:rsidR="00EB162C" w:rsidRPr="00A27725" w:rsidRDefault="001A260C" w:rsidP="004235E4">
      <w:pPr>
        <w:pStyle w:val="01"/>
      </w:pPr>
      <w:r w:rsidRPr="00A27725">
        <w:t>„klauzula večnosti</w:t>
      </w:r>
      <w:r w:rsidR="00A27725" w:rsidRPr="00A27725">
        <w:fldChar w:fldCharType="begin"/>
      </w:r>
      <w:r w:rsidR="00A27725" w:rsidRPr="00A27725">
        <w:instrText xml:space="preserve"> XE "klauzula večnosti" </w:instrText>
      </w:r>
      <w:r w:rsidR="00A27725" w:rsidRPr="00A27725">
        <w:fldChar w:fldCharType="end"/>
      </w:r>
      <w:r w:rsidRPr="00A27725">
        <w:t>“ – niektoré veci sú nemenné</w:t>
      </w:r>
    </w:p>
    <w:p w:rsidR="00703B2F" w:rsidRPr="00A27725" w:rsidRDefault="00703B2F" w:rsidP="00703B2F">
      <w:pPr>
        <w:rPr>
          <w:rFonts w:asciiTheme="majorHAnsi" w:hAnsiTheme="majorHAnsi" w:cstheme="majorHAnsi"/>
        </w:rPr>
      </w:pPr>
      <w:r w:rsidRPr="00A27725">
        <w:rPr>
          <w:rFonts w:asciiTheme="majorHAnsi" w:hAnsiTheme="majorHAnsi" w:cstheme="majorHAnsi"/>
        </w:rPr>
        <w:t>„</w:t>
      </w:r>
      <w:proofErr w:type="spellStart"/>
      <w:r w:rsidRPr="00A27725">
        <w:rPr>
          <w:rFonts w:asciiTheme="majorHAnsi" w:hAnsiTheme="majorHAnsi" w:cstheme="majorHAnsi"/>
        </w:rPr>
        <w:t>obsolétny</w:t>
      </w:r>
      <w:proofErr w:type="spellEnd"/>
      <w:r w:rsidR="00A27725" w:rsidRPr="00A27725">
        <w:rPr>
          <w:rFonts w:asciiTheme="majorHAnsi" w:hAnsiTheme="majorHAnsi" w:cstheme="majorHAnsi"/>
        </w:rPr>
        <w:fldChar w:fldCharType="begin"/>
      </w:r>
      <w:r w:rsidR="00A27725" w:rsidRPr="00A27725">
        <w:rPr>
          <w:rFonts w:asciiTheme="majorHAnsi" w:hAnsiTheme="majorHAnsi" w:cstheme="majorHAnsi"/>
        </w:rPr>
        <w:instrText xml:space="preserve"> XE "</w:instrText>
      </w:r>
      <w:proofErr w:type="spellStart"/>
      <w:r w:rsidR="00A27725" w:rsidRPr="00A27725">
        <w:rPr>
          <w:rFonts w:asciiTheme="majorHAnsi" w:hAnsiTheme="majorHAnsi" w:cstheme="majorHAnsi"/>
        </w:rPr>
        <w:instrText>obsolétny</w:instrText>
      </w:r>
      <w:proofErr w:type="spellEnd"/>
      <w:r w:rsidR="00A27725" w:rsidRPr="00A27725">
        <w:rPr>
          <w:rFonts w:asciiTheme="majorHAnsi" w:hAnsiTheme="majorHAnsi" w:cstheme="majorHAnsi"/>
        </w:rPr>
        <w:instrText xml:space="preserve">" </w:instrText>
      </w:r>
      <w:r w:rsidR="00A27725" w:rsidRPr="00A27725">
        <w:rPr>
          <w:rFonts w:asciiTheme="majorHAnsi" w:hAnsiTheme="majorHAnsi" w:cstheme="majorHAnsi"/>
        </w:rPr>
        <w:fldChar w:fldCharType="end"/>
      </w:r>
      <w:r w:rsidRPr="00A27725">
        <w:rPr>
          <w:rFonts w:asciiTheme="majorHAnsi" w:hAnsiTheme="majorHAnsi" w:cstheme="majorHAnsi"/>
        </w:rPr>
        <w:t>“ – ktorý sa už nepoužíva, zastaraný: o-a právna norma</w:t>
      </w:r>
    </w:p>
    <w:p w:rsidR="00703B2F" w:rsidRPr="00A27725" w:rsidRDefault="00703B2F" w:rsidP="00703B2F">
      <w:pPr>
        <w:spacing w:after="0"/>
        <w:rPr>
          <w:rFonts w:asciiTheme="majorHAnsi" w:hAnsiTheme="majorHAnsi" w:cstheme="majorHAnsi"/>
        </w:rPr>
      </w:pPr>
    </w:p>
    <w:p w:rsidR="00EB162C" w:rsidRPr="00A27725" w:rsidRDefault="00EB162C" w:rsidP="00EB162C">
      <w:pPr>
        <w:pStyle w:val="1"/>
        <w:rPr>
          <w:rFonts w:cstheme="majorHAnsi"/>
        </w:rPr>
      </w:pPr>
      <w:bookmarkStart w:id="7" w:name="_Toc24711650"/>
      <w:r w:rsidRPr="00A27725">
        <w:rPr>
          <w:rFonts w:cstheme="majorHAnsi"/>
        </w:rPr>
        <w:t>Hlava štátu, výkonná moc</w:t>
      </w:r>
      <w:bookmarkEnd w:id="7"/>
    </w:p>
    <w:p w:rsidR="00EB162C" w:rsidRPr="00A27725" w:rsidRDefault="00EB162C" w:rsidP="00EB162C">
      <w:pPr>
        <w:pStyle w:val="01"/>
        <w:spacing w:after="0"/>
      </w:pPr>
    </w:p>
    <w:p w:rsidR="00EB162C" w:rsidRPr="00A27725" w:rsidRDefault="00EB162C" w:rsidP="00703B2F">
      <w:pPr>
        <w:pStyle w:val="01"/>
        <w:numPr>
          <w:ilvl w:val="0"/>
          <w:numId w:val="39"/>
        </w:numPr>
        <w:spacing w:before="240" w:after="0"/>
      </w:pPr>
      <w:r w:rsidRPr="00A27725">
        <w:rPr>
          <w:b/>
          <w:bCs/>
        </w:rPr>
        <w:t>Súdna moc</w:t>
      </w:r>
      <w:r w:rsidRPr="00A27725">
        <w:t xml:space="preserve"> – súdy, vyčlenili sa ako prvé,</w:t>
      </w:r>
    </w:p>
    <w:p w:rsidR="00EB162C" w:rsidRPr="00A27725" w:rsidRDefault="00EB162C" w:rsidP="00703B2F">
      <w:pPr>
        <w:pStyle w:val="01"/>
        <w:numPr>
          <w:ilvl w:val="0"/>
          <w:numId w:val="39"/>
        </w:numPr>
        <w:spacing w:after="0"/>
      </w:pPr>
      <w:r w:rsidRPr="00A27725">
        <w:rPr>
          <w:b/>
          <w:bCs/>
        </w:rPr>
        <w:t>Zákonodarná moc</w:t>
      </w:r>
      <w:r w:rsidRPr="00A27725">
        <w:t xml:space="preserve"> – parlament,</w:t>
      </w:r>
    </w:p>
    <w:p w:rsidR="006B3D8F" w:rsidRPr="00A27725" w:rsidRDefault="00EB162C" w:rsidP="00703B2F">
      <w:pPr>
        <w:pStyle w:val="01"/>
        <w:numPr>
          <w:ilvl w:val="0"/>
          <w:numId w:val="39"/>
        </w:numPr>
        <w:spacing w:after="0"/>
      </w:pPr>
      <w:r w:rsidRPr="00A27725">
        <w:rPr>
          <w:b/>
          <w:bCs/>
        </w:rPr>
        <w:t>Výkonná moc</w:t>
      </w:r>
      <w:r w:rsidRPr="00A27725">
        <w:t xml:space="preserve"> – pod autoritou zákonodarnej, má za úlohu vykonávať zákony, predovšetkým vykonávacími predpismi a individuálnymi rozhodnutiami. Musí byť veľmi flexibilná.</w:t>
      </w:r>
    </w:p>
    <w:p w:rsidR="00703B2F" w:rsidRPr="00A27725" w:rsidRDefault="00703B2F" w:rsidP="00703B2F">
      <w:pPr>
        <w:pStyle w:val="01"/>
        <w:spacing w:after="0"/>
      </w:pPr>
    </w:p>
    <w:p w:rsidR="00EB162C" w:rsidRPr="00A27725" w:rsidRDefault="00EB162C" w:rsidP="006B3D8F">
      <w:pPr>
        <w:pStyle w:val="11"/>
        <w:spacing w:after="240"/>
        <w:rPr>
          <w:rFonts w:cstheme="majorHAnsi"/>
        </w:rPr>
      </w:pPr>
      <w:bookmarkStart w:id="8" w:name="_Toc24711651"/>
      <w:r w:rsidRPr="00A27725">
        <w:rPr>
          <w:rFonts w:cstheme="majorHAnsi"/>
        </w:rPr>
        <w:t>Formy vlády</w:t>
      </w:r>
      <w:bookmarkEnd w:id="8"/>
    </w:p>
    <w:p w:rsidR="006B3D8F" w:rsidRPr="00A27725" w:rsidRDefault="006B3D8F" w:rsidP="006B3D8F">
      <w:pPr>
        <w:pStyle w:val="01"/>
      </w:pPr>
      <w:r w:rsidRPr="00A27725">
        <w:t>Hlavným rozlišovacím základom je hlava štátu. Jej právomoci sa odvíjajú od zriadenia. Reprezentuje štát dovnútra aj navonok, dojednáva zahraničné zmluvy („ratifikovať</w:t>
      </w:r>
      <w:r w:rsidR="00A27725" w:rsidRPr="00A27725">
        <w:fldChar w:fldCharType="begin"/>
      </w:r>
      <w:r w:rsidR="00A27725" w:rsidRPr="00A27725">
        <w:instrText xml:space="preserve"> XE "ratifikovať" </w:instrText>
      </w:r>
      <w:r w:rsidR="00A27725" w:rsidRPr="00A27725">
        <w:fldChar w:fldCharType="end"/>
      </w:r>
      <w:r w:rsidRPr="00A27725">
        <w:t>“ - schvaľovať, schváliť s konečnou platnosťou: r. medzinárodnú zmluvu, dohodu)</w:t>
      </w:r>
      <w:r w:rsidR="00703B2F" w:rsidRPr="00A27725">
        <w:t>. Hlava štátu za výkon svojej činnosti v zásade nenesie zodpovednosť – politicky nie je zodpovedná. Výnimkou je inštitút „</w:t>
      </w:r>
      <w:proofErr w:type="spellStart"/>
      <w:r w:rsidR="00703B2F" w:rsidRPr="00A27725">
        <w:rPr>
          <w:b/>
          <w:bCs/>
        </w:rPr>
        <w:t>impeachement</w:t>
      </w:r>
      <w:proofErr w:type="spellEnd"/>
      <w:r w:rsidR="00703B2F" w:rsidRPr="00A27725">
        <w:t>“-u, môže viesť k strate úradu. U nás prezidenta možno stíhať iba za vlastizradu alebo úmyselné porušenie ústavy, spreneverenie poslania (parlament môže podať obžalobu, rieši ju ústavný súd..).</w:t>
      </w:r>
    </w:p>
    <w:p w:rsidR="006B3D8F" w:rsidRPr="00A27725" w:rsidRDefault="006B3D8F" w:rsidP="006B3D8F">
      <w:pPr>
        <w:pStyle w:val="01"/>
        <w:numPr>
          <w:ilvl w:val="0"/>
          <w:numId w:val="37"/>
        </w:numPr>
      </w:pPr>
      <w:r w:rsidRPr="00A27725">
        <w:rPr>
          <w:b/>
          <w:bCs/>
        </w:rPr>
        <w:t>monarchia</w:t>
      </w:r>
      <w:r w:rsidRPr="00A27725">
        <w:t xml:space="preserve"> – dedičná alebo volená (Vatikán), panovník je uctievanou autoritou</w:t>
      </w:r>
    </w:p>
    <w:p w:rsidR="006B3D8F" w:rsidRPr="00A27725" w:rsidRDefault="006B3D8F" w:rsidP="006B3D8F">
      <w:pPr>
        <w:pStyle w:val="01"/>
        <w:numPr>
          <w:ilvl w:val="0"/>
          <w:numId w:val="37"/>
        </w:numPr>
        <w:spacing w:after="0"/>
      </w:pPr>
      <w:r w:rsidRPr="00A27725">
        <w:rPr>
          <w:b/>
          <w:bCs/>
        </w:rPr>
        <w:t>republika</w:t>
      </w:r>
    </w:p>
    <w:p w:rsidR="006B3D8F" w:rsidRPr="00A27725" w:rsidRDefault="006B3D8F" w:rsidP="006B3D8F">
      <w:pPr>
        <w:pStyle w:val="01"/>
        <w:numPr>
          <w:ilvl w:val="1"/>
          <w:numId w:val="38"/>
        </w:numPr>
        <w:spacing w:after="0"/>
      </w:pPr>
      <w:r w:rsidRPr="00A27725">
        <w:rPr>
          <w:b/>
          <w:bCs/>
        </w:rPr>
        <w:t>prezidentská</w:t>
      </w:r>
      <w:r w:rsidRPr="00A27725">
        <w:t xml:space="preserve"> forma – USA, nie je to kolektívna vláda, prezident je hlavou výkonnej moci aj hlavou štátu, nie je nedotknuteľný, nie je nositeľom suverenity </w:t>
      </w:r>
    </w:p>
    <w:p w:rsidR="00703B2F" w:rsidRPr="00A27725" w:rsidRDefault="006B3D8F" w:rsidP="00277DF2">
      <w:pPr>
        <w:pStyle w:val="01"/>
        <w:numPr>
          <w:ilvl w:val="1"/>
          <w:numId w:val="38"/>
        </w:numPr>
        <w:spacing w:after="0"/>
        <w:rPr>
          <w:b/>
          <w:bCs/>
        </w:rPr>
      </w:pPr>
      <w:r w:rsidRPr="00A27725">
        <w:rPr>
          <w:b/>
          <w:bCs/>
        </w:rPr>
        <w:t>parlamentná</w:t>
      </w:r>
      <w:r w:rsidRPr="00A27725">
        <w:t xml:space="preserve"> forma </w:t>
      </w:r>
      <w:r w:rsidR="00703B2F" w:rsidRPr="00A27725">
        <w:t>– existuje „</w:t>
      </w:r>
      <w:r w:rsidR="00703B2F" w:rsidRPr="00A27725">
        <w:rPr>
          <w:b/>
          <w:bCs/>
        </w:rPr>
        <w:t>kontrasignácia</w:t>
      </w:r>
      <w:r w:rsidR="00A27725" w:rsidRPr="00A27725">
        <w:rPr>
          <w:b/>
          <w:bCs/>
        </w:rPr>
        <w:fldChar w:fldCharType="begin"/>
      </w:r>
      <w:r w:rsidR="00A27725" w:rsidRPr="00A27725">
        <w:instrText xml:space="preserve"> XE "kontrasignácia" </w:instrText>
      </w:r>
      <w:r w:rsidR="00A27725" w:rsidRPr="00A27725">
        <w:rPr>
          <w:b/>
          <w:bCs/>
        </w:rPr>
        <w:fldChar w:fldCharType="end"/>
      </w:r>
      <w:r w:rsidR="00703B2F" w:rsidRPr="00A27725">
        <w:t xml:space="preserve">“ – niektoré rozhodnutia hlavy štátu sú platné len pri spolu podpísaní, (napr. štátnych dlhopisov hlavou štátu a príslušným ministrom), </w:t>
      </w:r>
      <w:r w:rsidR="00703B2F" w:rsidRPr="00A27725">
        <w:rPr>
          <w:b/>
          <w:bCs/>
        </w:rPr>
        <w:t xml:space="preserve">!= </w:t>
      </w:r>
      <w:proofErr w:type="spellStart"/>
      <w:r w:rsidR="00703B2F" w:rsidRPr="00A27725">
        <w:rPr>
          <w:b/>
          <w:bCs/>
        </w:rPr>
        <w:t>signácia</w:t>
      </w:r>
      <w:proofErr w:type="spellEnd"/>
      <w:r w:rsidR="00A27725" w:rsidRPr="00A27725">
        <w:rPr>
          <w:b/>
          <w:bCs/>
        </w:rPr>
        <w:fldChar w:fldCharType="begin"/>
      </w:r>
      <w:r w:rsidR="00A27725" w:rsidRPr="00A27725">
        <w:instrText xml:space="preserve"> XE "</w:instrText>
      </w:r>
      <w:proofErr w:type="spellStart"/>
      <w:r w:rsidR="00A27725" w:rsidRPr="00A27725">
        <w:instrText>signácia</w:instrText>
      </w:r>
      <w:proofErr w:type="spellEnd"/>
      <w:r w:rsidR="00A27725" w:rsidRPr="00A27725">
        <w:instrText xml:space="preserve">" </w:instrText>
      </w:r>
      <w:r w:rsidR="00A27725" w:rsidRPr="00A27725">
        <w:rPr>
          <w:b/>
          <w:bCs/>
        </w:rPr>
        <w:fldChar w:fldCharType="end"/>
      </w:r>
      <w:r w:rsidR="00703B2F" w:rsidRPr="00A27725">
        <w:rPr>
          <w:b/>
          <w:bCs/>
        </w:rPr>
        <w:t>, signujú sa zákony</w:t>
      </w:r>
    </w:p>
    <w:p w:rsidR="006B3D8F" w:rsidRPr="00A27725" w:rsidRDefault="006B3D8F" w:rsidP="00703B2F">
      <w:pPr>
        <w:pStyle w:val="01"/>
        <w:numPr>
          <w:ilvl w:val="1"/>
          <w:numId w:val="38"/>
        </w:numPr>
        <w:spacing w:after="0"/>
      </w:pPr>
      <w:r w:rsidRPr="00A27725">
        <w:rPr>
          <w:b/>
          <w:bCs/>
        </w:rPr>
        <w:t>vláda parlamentu</w:t>
      </w:r>
      <w:r w:rsidRPr="00A27725">
        <w:t xml:space="preserve"> – kolektívna hlava štátu (Švajčiarsko)</w:t>
      </w:r>
    </w:p>
    <w:p w:rsidR="006B3D8F" w:rsidRPr="00A27725" w:rsidRDefault="00703B2F" w:rsidP="00BE30B9">
      <w:pPr>
        <w:pStyle w:val="11"/>
        <w:spacing w:after="240"/>
        <w:rPr>
          <w:rFonts w:cstheme="majorHAnsi"/>
        </w:rPr>
      </w:pPr>
      <w:bookmarkStart w:id="9" w:name="_Toc24711652"/>
      <w:r w:rsidRPr="00A27725">
        <w:rPr>
          <w:rFonts w:cstheme="majorHAnsi"/>
        </w:rPr>
        <w:t>Priama a nepriama vo</w:t>
      </w:r>
      <w:r w:rsidR="00BE30B9" w:rsidRPr="00A27725">
        <w:rPr>
          <w:rFonts w:cstheme="majorHAnsi"/>
        </w:rPr>
        <w:t>ľ</w:t>
      </w:r>
      <w:r w:rsidRPr="00A27725">
        <w:rPr>
          <w:rFonts w:cstheme="majorHAnsi"/>
        </w:rPr>
        <w:t>ba</w:t>
      </w:r>
      <w:bookmarkEnd w:id="9"/>
    </w:p>
    <w:p w:rsidR="00BE30B9" w:rsidRPr="00A27725" w:rsidRDefault="00BE30B9" w:rsidP="00BE30B9">
      <w:pPr>
        <w:pStyle w:val="01"/>
        <w:numPr>
          <w:ilvl w:val="0"/>
          <w:numId w:val="40"/>
        </w:numPr>
        <w:spacing w:after="0"/>
      </w:pPr>
      <w:r w:rsidRPr="00A27725">
        <w:t>Priama voľba – politická</w:t>
      </w:r>
    </w:p>
    <w:p w:rsidR="00BE30B9" w:rsidRPr="00A27725" w:rsidRDefault="00BE30B9" w:rsidP="00BE30B9">
      <w:pPr>
        <w:pStyle w:val="01"/>
        <w:numPr>
          <w:ilvl w:val="0"/>
          <w:numId w:val="40"/>
        </w:numPr>
        <w:spacing w:after="0"/>
      </w:pPr>
      <w:r w:rsidRPr="00A27725">
        <w:t xml:space="preserve">Nepriama </w:t>
      </w:r>
      <w:r w:rsidR="004C7940" w:rsidRPr="00A27725">
        <w:t>–</w:t>
      </w:r>
      <w:r w:rsidRPr="00A27725">
        <w:t xml:space="preserve"> apolitická</w:t>
      </w:r>
    </w:p>
    <w:p w:rsidR="004C7940" w:rsidRPr="00A27725" w:rsidRDefault="004C7940" w:rsidP="004C7940">
      <w:pPr>
        <w:pStyle w:val="01"/>
        <w:spacing w:after="0"/>
      </w:pPr>
    </w:p>
    <w:p w:rsidR="004C7940" w:rsidRPr="00A27725" w:rsidRDefault="004C7940" w:rsidP="004C7940">
      <w:pPr>
        <w:pStyle w:val="11"/>
        <w:spacing w:after="240"/>
        <w:rPr>
          <w:rFonts w:cstheme="majorHAnsi"/>
        </w:rPr>
      </w:pPr>
      <w:bookmarkStart w:id="10" w:name="_Toc24711653"/>
      <w:r w:rsidRPr="00A27725">
        <w:rPr>
          <w:rFonts w:cstheme="majorHAnsi"/>
        </w:rPr>
        <w:t>Zastúpenie hlavy štátu</w:t>
      </w:r>
      <w:bookmarkEnd w:id="10"/>
    </w:p>
    <w:p w:rsidR="004C7940" w:rsidRPr="00A27725" w:rsidRDefault="004C7940" w:rsidP="004C7940">
      <w:pPr>
        <w:pStyle w:val="01"/>
        <w:spacing w:after="0"/>
      </w:pPr>
      <w:r w:rsidRPr="00A27725">
        <w:t xml:space="preserve">Keď nastane dôvod zastupovania hlavy štátu, bez poverovania sa „ex </w:t>
      </w:r>
      <w:proofErr w:type="spellStart"/>
      <w:r w:rsidRPr="00A27725">
        <w:t>constitutione</w:t>
      </w:r>
      <w:proofErr w:type="spellEnd"/>
      <w:r w:rsidR="00A27725" w:rsidRPr="00A27725">
        <w:fldChar w:fldCharType="begin"/>
      </w:r>
      <w:r w:rsidR="00A27725" w:rsidRPr="00A27725">
        <w:instrText xml:space="preserve"> XE "ex </w:instrText>
      </w:r>
      <w:proofErr w:type="spellStart"/>
      <w:r w:rsidR="00A27725" w:rsidRPr="00A27725">
        <w:instrText>constitutione</w:instrText>
      </w:r>
      <w:proofErr w:type="spellEnd"/>
      <w:r w:rsidR="00A27725" w:rsidRPr="00A27725">
        <w:instrText xml:space="preserve">" </w:instrText>
      </w:r>
      <w:r w:rsidR="00A27725" w:rsidRPr="00A27725">
        <w:fldChar w:fldCharType="end"/>
      </w:r>
      <w:r w:rsidRPr="00A27725">
        <w:t>“ začína zastupiteľstvo, napríklad rozdelením právomoci prezidenta medzi viacero subjektov (napr. u nás, časť predseda NR, časť je nezastupiteľná..). V monarchii podľa nástupníckej línie, stáva sa hneď po (smrti) predchádzajúceho, aj pred korunováciou, ak je neplnoletý tak sa stanoví „regent“.</w:t>
      </w:r>
    </w:p>
    <w:p w:rsidR="004C7940" w:rsidRPr="00A27725" w:rsidRDefault="004C7940" w:rsidP="004C7940">
      <w:pPr>
        <w:pStyle w:val="01"/>
        <w:spacing w:after="0"/>
      </w:pPr>
    </w:p>
    <w:p w:rsidR="004C7940" w:rsidRPr="00A27725" w:rsidRDefault="004C7940" w:rsidP="004C7940">
      <w:pPr>
        <w:pStyle w:val="1"/>
        <w:rPr>
          <w:rFonts w:cstheme="majorHAnsi"/>
        </w:rPr>
      </w:pPr>
      <w:bookmarkStart w:id="11" w:name="_Toc24711654"/>
      <w:r w:rsidRPr="00A27725">
        <w:rPr>
          <w:rFonts w:cstheme="majorHAnsi"/>
        </w:rPr>
        <w:t>Súdna moc</w:t>
      </w:r>
      <w:bookmarkEnd w:id="11"/>
    </w:p>
    <w:p w:rsidR="004C7940" w:rsidRPr="00A27725" w:rsidRDefault="004C7940" w:rsidP="004C7940">
      <w:pPr>
        <w:pStyle w:val="01"/>
        <w:spacing w:after="0"/>
      </w:pPr>
    </w:p>
    <w:p w:rsidR="004C7940" w:rsidRPr="00A27725" w:rsidRDefault="004C7940" w:rsidP="004C7940">
      <w:pPr>
        <w:pStyle w:val="01"/>
        <w:spacing w:after="0"/>
      </w:pPr>
      <w:r w:rsidRPr="00A27725">
        <w:t>Zabezpečujú vysluhovanie spravodlivosti keď vznikne spor, riešia spory.</w:t>
      </w:r>
    </w:p>
    <w:p w:rsidR="004C7940" w:rsidRPr="00A27725" w:rsidRDefault="004C7940" w:rsidP="00D14840">
      <w:pPr>
        <w:pStyle w:val="01"/>
        <w:spacing w:before="240"/>
      </w:pPr>
      <w:r w:rsidRPr="00A27725">
        <w:t>Spravodlivosť sama o sebe je skôr filozofická otázka.</w:t>
      </w:r>
    </w:p>
    <w:p w:rsidR="004C7940" w:rsidRPr="00A27725" w:rsidRDefault="004C7940" w:rsidP="004C7940">
      <w:pPr>
        <w:pStyle w:val="01"/>
        <w:numPr>
          <w:ilvl w:val="0"/>
          <w:numId w:val="39"/>
        </w:numPr>
        <w:spacing w:after="0"/>
      </w:pPr>
      <w:r w:rsidRPr="00A27725">
        <w:t>pozitívne vymedzenie spravodlivosti</w:t>
      </w:r>
      <w:r w:rsidR="00A27725" w:rsidRPr="00A27725">
        <w:fldChar w:fldCharType="begin"/>
      </w:r>
      <w:r w:rsidR="00A27725" w:rsidRPr="00A27725">
        <w:instrText xml:space="preserve"> XE "pozitívne vymedzenie spravodlivosti" </w:instrText>
      </w:r>
      <w:r w:rsidR="00A27725" w:rsidRPr="00A27725">
        <w:fldChar w:fldCharType="end"/>
      </w:r>
      <w:r w:rsidRPr="00A27725">
        <w:t xml:space="preserve"> (čo je spravodlivosť)</w:t>
      </w:r>
    </w:p>
    <w:p w:rsidR="004C7940" w:rsidRPr="00A27725" w:rsidRDefault="004C7940" w:rsidP="004C7940">
      <w:pPr>
        <w:pStyle w:val="01"/>
        <w:numPr>
          <w:ilvl w:val="0"/>
          <w:numId w:val="39"/>
        </w:numPr>
        <w:spacing w:after="0"/>
      </w:pPr>
      <w:r w:rsidRPr="00A27725">
        <w:t>negatívne vymedzenie spravodlivosti</w:t>
      </w:r>
      <w:r w:rsidR="00A27725" w:rsidRPr="00A27725">
        <w:fldChar w:fldCharType="begin"/>
      </w:r>
      <w:r w:rsidR="00A27725" w:rsidRPr="00A27725">
        <w:instrText xml:space="preserve"> XE "negatívne vymedzenie spravodlivosti" </w:instrText>
      </w:r>
      <w:r w:rsidR="00A27725" w:rsidRPr="00A27725">
        <w:fldChar w:fldCharType="end"/>
      </w:r>
      <w:r w:rsidRPr="00A27725">
        <w:t xml:space="preserve"> (spravodlivosť je to, čo nie je nespravodlivosť)</w:t>
      </w:r>
    </w:p>
    <w:p w:rsidR="00D14840" w:rsidRPr="00A27725" w:rsidRDefault="00D14840" w:rsidP="00D14840">
      <w:pPr>
        <w:pStyle w:val="01"/>
        <w:spacing w:after="0"/>
      </w:pPr>
    </w:p>
    <w:p w:rsidR="004C7940" w:rsidRPr="00A27725" w:rsidRDefault="004C7940" w:rsidP="004C7940">
      <w:pPr>
        <w:pStyle w:val="01"/>
        <w:numPr>
          <w:ilvl w:val="0"/>
          <w:numId w:val="39"/>
        </w:numPr>
        <w:spacing w:after="0"/>
      </w:pPr>
      <w:r w:rsidRPr="00A27725">
        <w:rPr>
          <w:b/>
          <w:bCs/>
        </w:rPr>
        <w:t>Rozdeľujúca spravodlivosť</w:t>
      </w:r>
      <w:r w:rsidRPr="00A27725">
        <w:t xml:space="preserve"> - určuje ako rozdeľovať práva, ako aj povinnosti medzi rovnoprávne subjekty práva tak, aby za rovnakých podmienok jedni nemali viac práv alebo viac povinností ako iní</w:t>
      </w:r>
    </w:p>
    <w:p w:rsidR="00D14840" w:rsidRPr="00A27725" w:rsidRDefault="00D14840" w:rsidP="00D14840">
      <w:pPr>
        <w:pStyle w:val="01"/>
        <w:spacing w:after="0"/>
      </w:pPr>
    </w:p>
    <w:p w:rsidR="004C7940" w:rsidRPr="00A27725" w:rsidRDefault="004C7940" w:rsidP="004C7940">
      <w:pPr>
        <w:pStyle w:val="01"/>
        <w:numPr>
          <w:ilvl w:val="0"/>
          <w:numId w:val="39"/>
        </w:numPr>
        <w:spacing w:after="0"/>
      </w:pPr>
      <w:r w:rsidRPr="00A27725">
        <w:rPr>
          <w:b/>
          <w:bCs/>
        </w:rPr>
        <w:t>Vyrovnávajúca spravodlivosť</w:t>
      </w:r>
      <w:r w:rsidRPr="00A27725">
        <w:t xml:space="preserve"> - ktorá upravuje vzájomné vzťahy subjektov predovšetkým v konkrétnych právnych vzťahoch, určuje obsah a spôsob, na základe ktorého sa subjekty právnych vzťahov vyrovnávajú za dobro (zlo) poskytnuté (spôsobené) v týchto právnych vzťahoch</w:t>
      </w:r>
    </w:p>
    <w:p w:rsidR="0000409D" w:rsidRPr="00A27725" w:rsidRDefault="0000409D" w:rsidP="0000409D">
      <w:pPr>
        <w:pStyle w:val="01"/>
        <w:spacing w:after="0"/>
      </w:pPr>
    </w:p>
    <w:p w:rsidR="0000409D" w:rsidRPr="00A27725" w:rsidRDefault="0000409D" w:rsidP="0000409D">
      <w:pPr>
        <w:pStyle w:val="01"/>
        <w:spacing w:after="0"/>
      </w:pPr>
      <w:r w:rsidRPr="00A27725">
        <w:t>„flagrantne</w:t>
      </w:r>
      <w:r w:rsidR="00A27725" w:rsidRPr="00A27725">
        <w:fldChar w:fldCharType="begin"/>
      </w:r>
      <w:r w:rsidR="00A27725" w:rsidRPr="00A27725">
        <w:instrText xml:space="preserve"> XE "flagrantne" </w:instrText>
      </w:r>
      <w:r w:rsidR="00A27725" w:rsidRPr="00A27725">
        <w:fldChar w:fldCharType="end"/>
      </w:r>
      <w:r w:rsidRPr="00A27725">
        <w:t>“ – p. zreteľne, evidentne, navidomoči, markantne</w:t>
      </w:r>
    </w:p>
    <w:p w:rsidR="00D14840" w:rsidRPr="00A27725" w:rsidRDefault="00D14840" w:rsidP="00D14840">
      <w:pPr>
        <w:pStyle w:val="01"/>
        <w:spacing w:after="0"/>
      </w:pPr>
    </w:p>
    <w:p w:rsidR="00D14840" w:rsidRPr="00A27725" w:rsidRDefault="00D14840" w:rsidP="00D14840">
      <w:pPr>
        <w:pStyle w:val="11"/>
        <w:spacing w:after="240"/>
        <w:rPr>
          <w:rFonts w:cstheme="majorHAnsi"/>
        </w:rPr>
      </w:pPr>
      <w:bookmarkStart w:id="12" w:name="_Toc24711655"/>
      <w:r w:rsidRPr="00A27725">
        <w:rPr>
          <w:rFonts w:cstheme="majorHAnsi"/>
        </w:rPr>
        <w:t>Nezávislosť súdnej moci</w:t>
      </w:r>
      <w:bookmarkEnd w:id="12"/>
    </w:p>
    <w:p w:rsidR="00D14840" w:rsidRPr="00A27725" w:rsidRDefault="007A5617" w:rsidP="00D14840">
      <w:pPr>
        <w:pStyle w:val="01"/>
      </w:pPr>
      <w:r w:rsidRPr="00A27725">
        <w:t xml:space="preserve">Súdna moc je najťažšie kontrolovateľná. </w:t>
      </w:r>
      <w:r w:rsidR="00D14840" w:rsidRPr="00A27725">
        <w:t>N</w:t>
      </w:r>
      <w:r w:rsidRPr="00A27725">
        <w:t>ezávislosť sa n</w:t>
      </w:r>
      <w:r w:rsidR="00D14840" w:rsidRPr="00A27725">
        <w:t>erovná nezodpovednosti, uplatňuje sa pri rozhodovacej činnosti. Nikto nemôže dať pokyn súdu, ako rozhodnúť. Zákon vytvára podmienky a záruky nezávislosti. Má dve roviny – inštitucionálnu a personálnu.</w:t>
      </w:r>
    </w:p>
    <w:p w:rsidR="00D14840" w:rsidRPr="00A27725" w:rsidRDefault="00D14840" w:rsidP="00D14840">
      <w:pPr>
        <w:pStyle w:val="01"/>
        <w:numPr>
          <w:ilvl w:val="0"/>
          <w:numId w:val="39"/>
        </w:numPr>
        <w:spacing w:after="0"/>
      </w:pPr>
      <w:r w:rsidRPr="00A27725">
        <w:rPr>
          <w:b/>
          <w:bCs/>
        </w:rPr>
        <w:t>inštitucionálna</w:t>
      </w:r>
      <w:r w:rsidRPr="00A27725">
        <w:t xml:space="preserve"> – súdy tvoria osobitý systém nezávislý od iných štátnych orgánov, tvoria osobitú oddelenú sústavu</w:t>
      </w:r>
    </w:p>
    <w:p w:rsidR="00D14840" w:rsidRPr="00A27725" w:rsidRDefault="00D14840" w:rsidP="00D14840">
      <w:pPr>
        <w:pStyle w:val="01"/>
        <w:numPr>
          <w:ilvl w:val="0"/>
          <w:numId w:val="39"/>
        </w:numPr>
        <w:spacing w:after="0"/>
      </w:pPr>
      <w:r w:rsidRPr="00A27725">
        <w:rPr>
          <w:b/>
          <w:bCs/>
        </w:rPr>
        <w:t>personálna</w:t>
      </w:r>
      <w:r w:rsidRPr="00A27725">
        <w:t xml:space="preserve"> – sudcovia sú pri výkone funkcie nezávislí, výber má byť transparentný a diskrétny, sudca nemá byť komu vďačný za funkciu</w:t>
      </w:r>
    </w:p>
    <w:p w:rsidR="004118AE" w:rsidRPr="00A27725" w:rsidRDefault="004118AE">
      <w:pPr>
        <w:rPr>
          <w:rFonts w:asciiTheme="majorHAnsi" w:hAnsiTheme="majorHAnsi" w:cstheme="majorHAnsi"/>
        </w:rPr>
      </w:pPr>
      <w:r w:rsidRPr="00A27725">
        <w:rPr>
          <w:rFonts w:asciiTheme="majorHAnsi" w:hAnsiTheme="majorHAnsi" w:cstheme="majorHAnsi"/>
        </w:rPr>
        <w:br w:type="page"/>
      </w:r>
    </w:p>
    <w:p w:rsidR="00D14840" w:rsidRPr="00A27725" w:rsidRDefault="00D14840" w:rsidP="004118AE">
      <w:pPr>
        <w:pStyle w:val="11"/>
        <w:spacing w:after="240"/>
        <w:rPr>
          <w:rFonts w:cstheme="majorHAnsi"/>
        </w:rPr>
      </w:pPr>
      <w:bookmarkStart w:id="13" w:name="_Toc24711656"/>
      <w:r w:rsidRPr="00A27725">
        <w:rPr>
          <w:rFonts w:cstheme="majorHAnsi"/>
        </w:rPr>
        <w:t>Nestrannosť súdnej moci</w:t>
      </w:r>
      <w:bookmarkEnd w:id="13"/>
    </w:p>
    <w:p w:rsidR="004118AE" w:rsidRPr="00A27725" w:rsidRDefault="004118AE" w:rsidP="004118AE">
      <w:pPr>
        <w:pStyle w:val="01"/>
      </w:pPr>
      <w:r w:rsidRPr="00A27725">
        <w:t>Má dva rozmery:</w:t>
      </w:r>
    </w:p>
    <w:p w:rsidR="004118AE" w:rsidRPr="00A27725" w:rsidRDefault="004118AE" w:rsidP="004118AE">
      <w:pPr>
        <w:pStyle w:val="01"/>
        <w:numPr>
          <w:ilvl w:val="0"/>
          <w:numId w:val="39"/>
        </w:numPr>
      </w:pPr>
      <w:r w:rsidRPr="00A27725">
        <w:rPr>
          <w:b/>
          <w:bCs/>
        </w:rPr>
        <w:t>subjektívna</w:t>
      </w:r>
      <w:r w:rsidRPr="00A27725">
        <w:t xml:space="preserve"> – skúma sa, či sudca sám je schopný vystupovať neutrálne</w:t>
      </w:r>
    </w:p>
    <w:p w:rsidR="004118AE" w:rsidRPr="00A27725" w:rsidRDefault="004118AE" w:rsidP="004118AE">
      <w:pPr>
        <w:pStyle w:val="01"/>
        <w:numPr>
          <w:ilvl w:val="0"/>
          <w:numId w:val="39"/>
        </w:numPr>
      </w:pPr>
      <w:r w:rsidRPr="00A27725">
        <w:rPr>
          <w:b/>
          <w:bCs/>
        </w:rPr>
        <w:t>objektívna</w:t>
      </w:r>
      <w:r w:rsidRPr="00A27725">
        <w:t xml:space="preserve"> – či neexistuje skutočnosť, ktorá by mohla zakladať dôvod na pochybnosť o nestrannosti sudcu, či sa sudca navonok javí nestranne (rozhodovanie o bratovi – môže síce byť dostatočne profesionálny, ale je to dôvod na vylúčenie). nestrannosť sudcu sa prezumuje, „predpojatosť</w:t>
      </w:r>
      <w:r w:rsidR="00A27725" w:rsidRPr="00A27725">
        <w:fldChar w:fldCharType="begin"/>
      </w:r>
      <w:r w:rsidR="00A27725" w:rsidRPr="00A27725">
        <w:instrText xml:space="preserve"> XE "predpojatosť" </w:instrText>
      </w:r>
      <w:r w:rsidR="00A27725" w:rsidRPr="00A27725">
        <w:fldChar w:fldCharType="end"/>
      </w:r>
      <w:r w:rsidRPr="00A27725">
        <w:t>“ sa musí dokázať (sudca ju musí priznať)</w:t>
      </w:r>
    </w:p>
    <w:p w:rsidR="00794B3B" w:rsidRPr="00A27725" w:rsidRDefault="00794B3B" w:rsidP="00794B3B">
      <w:pPr>
        <w:pStyle w:val="01"/>
      </w:pPr>
    </w:p>
    <w:p w:rsidR="00794B3B" w:rsidRPr="00A27725" w:rsidRDefault="00794B3B" w:rsidP="00794B3B">
      <w:pPr>
        <w:pStyle w:val="11"/>
        <w:spacing w:after="240"/>
        <w:rPr>
          <w:rFonts w:cstheme="majorHAnsi"/>
        </w:rPr>
      </w:pPr>
      <w:bookmarkStart w:id="14" w:name="_Toc24711657"/>
      <w:r w:rsidRPr="00A27725">
        <w:rPr>
          <w:rFonts w:cstheme="majorHAnsi"/>
        </w:rPr>
        <w:t>Procesné inštitúty v rámci súdnej moci</w:t>
      </w:r>
      <w:bookmarkEnd w:id="14"/>
    </w:p>
    <w:p w:rsidR="00794B3B" w:rsidRPr="00A27725" w:rsidRDefault="00794B3B" w:rsidP="00794B3B">
      <w:pPr>
        <w:pStyle w:val="01"/>
        <w:numPr>
          <w:ilvl w:val="0"/>
          <w:numId w:val="41"/>
        </w:numPr>
      </w:pPr>
      <w:r w:rsidRPr="00A27725">
        <w:rPr>
          <w:b/>
          <w:bCs/>
        </w:rPr>
        <w:t>inštitút zákonného sudcu</w:t>
      </w:r>
      <w:r w:rsidRPr="00A27725">
        <w:t xml:space="preserve"> – ani sudca ani účastník konania nemôže vybrať ani súd ani sudcu, kde sa bude jednanie konať.</w:t>
      </w:r>
    </w:p>
    <w:p w:rsidR="00794B3B" w:rsidRPr="00A27725" w:rsidRDefault="00794B3B" w:rsidP="00794B3B">
      <w:pPr>
        <w:pStyle w:val="01"/>
        <w:numPr>
          <w:ilvl w:val="0"/>
          <w:numId w:val="41"/>
        </w:numPr>
      </w:pPr>
      <w:r w:rsidRPr="00A27725">
        <w:rPr>
          <w:b/>
          <w:bCs/>
        </w:rPr>
        <w:t>ústnosť a verejnosť</w:t>
      </w:r>
      <w:r w:rsidRPr="00A27725">
        <w:t xml:space="preserve"> – umožnenie argumentácie a transparentnosti.</w:t>
      </w:r>
    </w:p>
    <w:p w:rsidR="00794B3B" w:rsidRPr="00A27725" w:rsidRDefault="00794B3B" w:rsidP="00794B3B">
      <w:pPr>
        <w:pStyle w:val="01"/>
        <w:numPr>
          <w:ilvl w:val="0"/>
          <w:numId w:val="41"/>
        </w:numPr>
      </w:pPr>
      <w:r w:rsidRPr="00A27725">
        <w:rPr>
          <w:b/>
          <w:bCs/>
        </w:rPr>
        <w:t>zásada prezumpcie neviny</w:t>
      </w:r>
    </w:p>
    <w:p w:rsidR="00794B3B" w:rsidRPr="00A27725" w:rsidRDefault="00794B3B" w:rsidP="00794B3B">
      <w:pPr>
        <w:pStyle w:val="01"/>
        <w:numPr>
          <w:ilvl w:val="0"/>
          <w:numId w:val="41"/>
        </w:numPr>
      </w:pPr>
      <w:r w:rsidRPr="00A27725">
        <w:t>„</w:t>
      </w:r>
      <w:r w:rsidRPr="00A27725">
        <w:rPr>
          <w:b/>
          <w:bCs/>
        </w:rPr>
        <w:t xml:space="preserve">in </w:t>
      </w:r>
      <w:proofErr w:type="spellStart"/>
      <w:r w:rsidRPr="00A27725">
        <w:rPr>
          <w:b/>
          <w:bCs/>
        </w:rPr>
        <w:t>dubio</w:t>
      </w:r>
      <w:proofErr w:type="spellEnd"/>
      <w:r w:rsidRPr="00A27725">
        <w:rPr>
          <w:b/>
          <w:bCs/>
        </w:rPr>
        <w:t xml:space="preserve"> pro </w:t>
      </w:r>
      <w:proofErr w:type="spellStart"/>
      <w:r w:rsidRPr="00A27725">
        <w:rPr>
          <w:b/>
          <w:bCs/>
        </w:rPr>
        <w:t>libertate</w:t>
      </w:r>
      <w:proofErr w:type="spellEnd"/>
      <w:r w:rsidR="00A27725" w:rsidRPr="00A27725">
        <w:rPr>
          <w:b/>
          <w:bCs/>
        </w:rPr>
        <w:fldChar w:fldCharType="begin"/>
      </w:r>
      <w:r w:rsidR="00A27725" w:rsidRPr="00A27725">
        <w:instrText xml:space="preserve"> XE "in </w:instrText>
      </w:r>
      <w:proofErr w:type="spellStart"/>
      <w:r w:rsidR="00A27725" w:rsidRPr="00A27725">
        <w:instrText>dubio</w:instrText>
      </w:r>
      <w:proofErr w:type="spellEnd"/>
      <w:r w:rsidR="00A27725" w:rsidRPr="00A27725">
        <w:instrText xml:space="preserve"> pro </w:instrText>
      </w:r>
      <w:proofErr w:type="spellStart"/>
      <w:r w:rsidR="00A27725" w:rsidRPr="00A27725">
        <w:instrText>libertate</w:instrText>
      </w:r>
      <w:proofErr w:type="spellEnd"/>
      <w:r w:rsidR="00A27725" w:rsidRPr="00A27725">
        <w:instrText xml:space="preserve">" </w:instrText>
      </w:r>
      <w:r w:rsidR="00A27725" w:rsidRPr="00A27725">
        <w:rPr>
          <w:b/>
          <w:bCs/>
        </w:rPr>
        <w:fldChar w:fldCharType="end"/>
      </w:r>
      <w:r w:rsidRPr="00A27725">
        <w:t>“ – v pochybnosti pre slobodu</w:t>
      </w:r>
    </w:p>
    <w:p w:rsidR="00794B3B" w:rsidRPr="00A27725" w:rsidRDefault="00794B3B" w:rsidP="00794B3B">
      <w:pPr>
        <w:pStyle w:val="01"/>
        <w:numPr>
          <w:ilvl w:val="0"/>
          <w:numId w:val="41"/>
        </w:numPr>
      </w:pPr>
      <w:r w:rsidRPr="00A27725">
        <w:t>„</w:t>
      </w:r>
      <w:r w:rsidRPr="00A27725">
        <w:rPr>
          <w:b/>
          <w:bCs/>
        </w:rPr>
        <w:t xml:space="preserve">in </w:t>
      </w:r>
      <w:proofErr w:type="spellStart"/>
      <w:r w:rsidRPr="00A27725">
        <w:rPr>
          <w:b/>
          <w:bCs/>
        </w:rPr>
        <w:t>dubio</w:t>
      </w:r>
      <w:proofErr w:type="spellEnd"/>
      <w:r w:rsidRPr="00A27725">
        <w:rPr>
          <w:b/>
          <w:bCs/>
        </w:rPr>
        <w:t xml:space="preserve"> pro </w:t>
      </w:r>
      <w:proofErr w:type="spellStart"/>
      <w:r w:rsidRPr="00A27725">
        <w:rPr>
          <w:b/>
          <w:bCs/>
        </w:rPr>
        <w:t>reo</w:t>
      </w:r>
      <w:proofErr w:type="spellEnd"/>
      <w:r w:rsidR="00A27725" w:rsidRPr="00A27725">
        <w:rPr>
          <w:b/>
          <w:bCs/>
        </w:rPr>
        <w:fldChar w:fldCharType="begin"/>
      </w:r>
      <w:r w:rsidR="00A27725" w:rsidRPr="00A27725">
        <w:instrText xml:space="preserve"> XE "in </w:instrText>
      </w:r>
      <w:proofErr w:type="spellStart"/>
      <w:r w:rsidR="00A27725" w:rsidRPr="00A27725">
        <w:instrText>dubio</w:instrText>
      </w:r>
      <w:proofErr w:type="spellEnd"/>
      <w:r w:rsidR="00A27725" w:rsidRPr="00A27725">
        <w:instrText xml:space="preserve"> pro </w:instrText>
      </w:r>
      <w:proofErr w:type="spellStart"/>
      <w:r w:rsidR="00A27725" w:rsidRPr="00A27725">
        <w:instrText>reo</w:instrText>
      </w:r>
      <w:proofErr w:type="spellEnd"/>
      <w:r w:rsidR="00A27725" w:rsidRPr="00A27725">
        <w:instrText xml:space="preserve">" </w:instrText>
      </w:r>
      <w:r w:rsidR="00A27725" w:rsidRPr="00A27725">
        <w:rPr>
          <w:b/>
          <w:bCs/>
        </w:rPr>
        <w:fldChar w:fldCharType="end"/>
      </w:r>
      <w:r w:rsidRPr="00A27725">
        <w:t xml:space="preserve">“ – keď nie je preukázaná vina, sudca je povinný obžalovaného oslobodiť, aj keď má vedomosť o jeho vine – lepšie pár nepotrestaných na slobode ako jeden vinný potrestaný </w:t>
      </w:r>
    </w:p>
    <w:p w:rsidR="00833FEF" w:rsidRPr="00A27725" w:rsidRDefault="00794B3B" w:rsidP="00833FEF">
      <w:pPr>
        <w:pStyle w:val="11"/>
        <w:spacing w:after="240"/>
        <w:rPr>
          <w:rFonts w:cstheme="majorHAnsi"/>
        </w:rPr>
      </w:pPr>
      <w:bookmarkStart w:id="15" w:name="_Toc24711658"/>
      <w:r w:rsidRPr="00A27725">
        <w:rPr>
          <w:rFonts w:cstheme="majorHAnsi"/>
        </w:rPr>
        <w:t>Ústa</w:t>
      </w:r>
      <w:r w:rsidR="00277DF2" w:rsidRPr="00A27725">
        <w:rPr>
          <w:rFonts w:cstheme="majorHAnsi"/>
        </w:rPr>
        <w:t>vn</w:t>
      </w:r>
      <w:r w:rsidRPr="00A27725">
        <w:rPr>
          <w:rFonts w:cstheme="majorHAnsi"/>
        </w:rPr>
        <w:t>ý súd</w:t>
      </w:r>
      <w:bookmarkEnd w:id="15"/>
      <w:r w:rsidR="00277DF2" w:rsidRPr="00A27725">
        <w:rPr>
          <w:rFonts w:cstheme="majorHAnsi"/>
        </w:rPr>
        <w:t xml:space="preserve"> </w:t>
      </w:r>
    </w:p>
    <w:p w:rsidR="00794B3B" w:rsidRPr="00A27725" w:rsidRDefault="00833FEF" w:rsidP="00794B3B">
      <w:pPr>
        <w:pStyle w:val="01"/>
      </w:pPr>
      <w:r w:rsidRPr="00A27725">
        <w:t xml:space="preserve">Ústavný súd </w:t>
      </w:r>
      <w:r w:rsidR="00277DF2" w:rsidRPr="00A27725">
        <w:t>(a ústavné súdnictvo)</w:t>
      </w:r>
      <w:r w:rsidR="00794B3B" w:rsidRPr="00A27725">
        <w:t xml:space="preserve"> rieši </w:t>
      </w:r>
      <w:r w:rsidR="00277DF2" w:rsidRPr="00A27725">
        <w:t xml:space="preserve">otázky </w:t>
      </w:r>
      <w:r w:rsidR="00794B3B" w:rsidRPr="00A27725">
        <w:t>porušovani</w:t>
      </w:r>
      <w:r w:rsidR="00277DF2" w:rsidRPr="00A27725">
        <w:t xml:space="preserve">a </w:t>
      </w:r>
      <w:r w:rsidR="00794B3B" w:rsidRPr="00A27725">
        <w:t>ústavy a ústavných princípov,</w:t>
      </w:r>
      <w:r w:rsidR="00277DF2" w:rsidRPr="00A27725">
        <w:t xml:space="preserve"> nerieši bežné prípady. </w:t>
      </w:r>
    </w:p>
    <w:p w:rsidR="00833FEF" w:rsidRPr="00A27725" w:rsidRDefault="00833FEF" w:rsidP="00833FEF">
      <w:pPr>
        <w:pStyle w:val="111"/>
        <w:spacing w:after="240"/>
        <w:rPr>
          <w:rFonts w:cstheme="majorHAnsi"/>
        </w:rPr>
      </w:pPr>
      <w:bookmarkStart w:id="16" w:name="_Toc24711659"/>
      <w:r w:rsidRPr="00A27725">
        <w:rPr>
          <w:rFonts w:cstheme="majorHAnsi"/>
        </w:rPr>
        <w:t>Súdna kontrola ústavnosti</w:t>
      </w:r>
      <w:bookmarkEnd w:id="16"/>
    </w:p>
    <w:p w:rsidR="00833FEF" w:rsidRPr="00A27725" w:rsidRDefault="00833FEF" w:rsidP="00833FEF">
      <w:pPr>
        <w:pStyle w:val="01"/>
        <w:numPr>
          <w:ilvl w:val="0"/>
          <w:numId w:val="39"/>
        </w:numPr>
      </w:pPr>
      <w:r w:rsidRPr="00A27725">
        <w:rPr>
          <w:b/>
          <w:bCs/>
        </w:rPr>
        <w:t>difúzny model</w:t>
      </w:r>
      <w:r w:rsidRPr="00A27725">
        <w:t xml:space="preserve"> – dodnes funguje v USA, kontrolu ústavnosti môže vykonávať každý jeden súd. Nemôže zrušiť zákon, ale iba ho neaplikuje.</w:t>
      </w:r>
    </w:p>
    <w:p w:rsidR="00833FEF" w:rsidRPr="00A27725" w:rsidRDefault="00351D56" w:rsidP="00833FEF">
      <w:pPr>
        <w:pStyle w:val="01"/>
        <w:numPr>
          <w:ilvl w:val="0"/>
          <w:numId w:val="39"/>
        </w:numPr>
      </w:pPr>
      <w:r w:rsidRPr="00A27725">
        <w:rPr>
          <w:b/>
          <w:bCs/>
        </w:rPr>
        <w:t>koncentrovaný model</w:t>
      </w:r>
      <w:r w:rsidRPr="00A27725">
        <w:t xml:space="preserve"> – </w:t>
      </w:r>
      <w:proofErr w:type="spellStart"/>
      <w:r w:rsidRPr="00A27725">
        <w:t>Hans</w:t>
      </w:r>
      <w:proofErr w:type="spellEnd"/>
      <w:r w:rsidRPr="00A27725">
        <w:t xml:space="preserve"> </w:t>
      </w:r>
      <w:proofErr w:type="spellStart"/>
      <w:r w:rsidRPr="00A27725">
        <w:t>Kelsen</w:t>
      </w:r>
      <w:proofErr w:type="spellEnd"/>
      <w:r w:rsidRPr="00A27725">
        <w:t xml:space="preserve"> – osobitný orgán súdneho typu, kt. stojí mimo súdnej sústavy (ústavný súd), dôsledkom napadnutia zákona je strata jeho platnosti. Môže zrušiť rozhodnutie v podstate každého súdu (a orgánu) v krajine. Platí zásada subsidiarity, (podporne – rozhoduje, až keď nie je kompetentný žiaden iný súd).</w:t>
      </w:r>
    </w:p>
    <w:p w:rsidR="00351D56" w:rsidRPr="00A27725" w:rsidRDefault="00351D56" w:rsidP="00351D56">
      <w:pPr>
        <w:pStyle w:val="01"/>
        <w:rPr>
          <w:b/>
          <w:bCs/>
        </w:rPr>
      </w:pPr>
      <w:r w:rsidRPr="00A27725">
        <w:rPr>
          <w:b/>
          <w:bCs/>
        </w:rPr>
        <w:t>Kontrola ústavnosti môže byť :</w:t>
      </w:r>
    </w:p>
    <w:p w:rsidR="00351D56" w:rsidRPr="00A27725" w:rsidRDefault="00351D56" w:rsidP="00351D56">
      <w:pPr>
        <w:pStyle w:val="01"/>
        <w:numPr>
          <w:ilvl w:val="0"/>
          <w:numId w:val="39"/>
        </w:numPr>
        <w:spacing w:after="0"/>
      </w:pPr>
      <w:r w:rsidRPr="00A27725">
        <w:t>preventívna</w:t>
      </w:r>
      <w:r w:rsidR="00DA25E0" w:rsidRPr="00A27725">
        <w:t xml:space="preserve"> (u nás neexistuje)</w:t>
      </w:r>
    </w:p>
    <w:p w:rsidR="00351D56" w:rsidRPr="00A27725" w:rsidRDefault="00351D56" w:rsidP="00351D56">
      <w:pPr>
        <w:pStyle w:val="01"/>
        <w:numPr>
          <w:ilvl w:val="0"/>
          <w:numId w:val="39"/>
        </w:numPr>
      </w:pPr>
      <w:r w:rsidRPr="00A27725">
        <w:t>následná</w:t>
      </w:r>
      <w:r w:rsidR="00DA25E0" w:rsidRPr="00A27725">
        <w:t xml:space="preserve"> (kontrola platného predpisu)</w:t>
      </w:r>
    </w:p>
    <w:p w:rsidR="00A27725" w:rsidRPr="00A27725" w:rsidRDefault="00A27725" w:rsidP="00A27725">
      <w:pPr>
        <w:pStyle w:val="01"/>
        <w:numPr>
          <w:ilvl w:val="0"/>
          <w:numId w:val="39"/>
        </w:numPr>
        <w:spacing w:after="0"/>
      </w:pPr>
      <w:r w:rsidRPr="00A27725">
        <w:t>abstraktná – bez konkrétneho prípadu</w:t>
      </w:r>
    </w:p>
    <w:p w:rsidR="00A27725" w:rsidRPr="00A27725" w:rsidRDefault="00A27725" w:rsidP="00351D56">
      <w:pPr>
        <w:pStyle w:val="01"/>
        <w:numPr>
          <w:ilvl w:val="0"/>
          <w:numId w:val="39"/>
        </w:numPr>
      </w:pPr>
      <w:r w:rsidRPr="00A27725">
        <w:t>konkrétna</w:t>
      </w:r>
    </w:p>
    <w:p w:rsidR="00A27725" w:rsidRPr="00A27725" w:rsidRDefault="00A27725" w:rsidP="00A27725">
      <w:pPr>
        <w:pStyle w:val="01"/>
      </w:pPr>
      <w:r w:rsidRPr="00A27725">
        <w:t>Výklad a interpretácia ústavy</w:t>
      </w:r>
    </w:p>
    <w:p w:rsidR="00A27725" w:rsidRPr="00A27725" w:rsidRDefault="00A27725">
      <w:pPr>
        <w:rPr>
          <w:rFonts w:asciiTheme="majorHAnsi" w:hAnsiTheme="majorHAnsi" w:cstheme="majorHAnsi"/>
        </w:rPr>
      </w:pPr>
      <w:r w:rsidRPr="00A27725">
        <w:rPr>
          <w:rFonts w:asciiTheme="majorHAnsi" w:hAnsiTheme="majorHAnsi" w:cstheme="majorHAnsi"/>
        </w:rPr>
        <w:br w:type="page"/>
      </w:r>
    </w:p>
    <w:p w:rsidR="00A27725" w:rsidRPr="00A27725" w:rsidRDefault="00A27725" w:rsidP="00A27725">
      <w:pPr>
        <w:pStyle w:val="1"/>
        <w:rPr>
          <w:rFonts w:cstheme="majorHAnsi"/>
        </w:rPr>
      </w:pPr>
      <w:bookmarkStart w:id="17" w:name="_Toc24711660"/>
      <w:r w:rsidRPr="00A27725">
        <w:rPr>
          <w:rFonts w:cstheme="majorHAnsi"/>
        </w:rPr>
        <w:t>Zoznam pojmov</w:t>
      </w:r>
      <w:bookmarkEnd w:id="17"/>
    </w:p>
    <w:p w:rsidR="00A27725" w:rsidRPr="00A27725" w:rsidRDefault="00A27725" w:rsidP="00A27725">
      <w:pPr>
        <w:pStyle w:val="01"/>
      </w:pPr>
    </w:p>
    <w:p w:rsidR="00A27725" w:rsidRPr="00A27725" w:rsidRDefault="00A27725" w:rsidP="00A27725">
      <w:pPr>
        <w:pStyle w:val="01"/>
        <w:rPr>
          <w:noProof/>
        </w:rPr>
        <w:sectPr w:rsidR="00A27725" w:rsidRPr="00A27725" w:rsidSect="00A27725">
          <w:footerReference w:type="default" r:id="rId11"/>
          <w:type w:val="continuous"/>
          <w:pgSz w:w="11906" w:h="16838"/>
          <w:pgMar w:top="1417" w:right="1417" w:bottom="1417" w:left="1417" w:header="567" w:footer="708" w:gutter="0"/>
          <w:cols w:space="708"/>
          <w:docGrid w:linePitch="360"/>
        </w:sectPr>
      </w:pPr>
      <w:r w:rsidRPr="00A27725">
        <w:fldChar w:fldCharType="begin"/>
      </w:r>
      <w:r w:rsidRPr="00A27725">
        <w:instrText xml:space="preserve"> INDEX \e "</w:instrText>
      </w:r>
      <w:r w:rsidRPr="00A27725">
        <w:tab/>
        <w:instrText xml:space="preserve">" \h "A" \c "2" \z "1051" </w:instrText>
      </w:r>
      <w:r w:rsidRPr="00A27725">
        <w:fldChar w:fldCharType="separate"/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D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domnienka záväznosti</w:t>
      </w:r>
      <w:r w:rsidRPr="00A27725">
        <w:rPr>
          <w:rFonts w:asciiTheme="majorHAnsi" w:hAnsiTheme="majorHAnsi" w:cstheme="majorHAnsi"/>
          <w:noProof/>
        </w:rPr>
        <w:tab/>
        <w:t>3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E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ex constitutione</w:t>
      </w:r>
      <w:r w:rsidRPr="00A27725">
        <w:rPr>
          <w:rFonts w:asciiTheme="majorHAnsi" w:hAnsiTheme="majorHAnsi" w:cstheme="majorHAnsi"/>
          <w:noProof/>
        </w:rPr>
        <w:tab/>
        <w:t>5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F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flagrantne</w:t>
      </w:r>
      <w:r w:rsidRPr="00A27725">
        <w:rPr>
          <w:rFonts w:asciiTheme="majorHAnsi" w:hAnsiTheme="majorHAnsi" w:cstheme="majorHAnsi"/>
          <w:noProof/>
        </w:rPr>
        <w:tab/>
        <w:t>5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I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in dubio pro libertate</w:t>
      </w:r>
      <w:r w:rsidRPr="00A27725">
        <w:rPr>
          <w:rFonts w:asciiTheme="majorHAnsi" w:hAnsiTheme="majorHAnsi" w:cstheme="majorHAnsi"/>
          <w:noProof/>
        </w:rPr>
        <w:tab/>
        <w:t>6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in dubio pro reo</w:t>
      </w:r>
      <w:r w:rsidRPr="00A27725">
        <w:rPr>
          <w:rFonts w:asciiTheme="majorHAnsi" w:hAnsiTheme="majorHAnsi" w:cstheme="majorHAnsi"/>
          <w:noProof/>
        </w:rPr>
        <w:tab/>
        <w:t>6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K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klauzula večnosti</w:t>
      </w:r>
      <w:r w:rsidRPr="00A27725">
        <w:rPr>
          <w:rFonts w:asciiTheme="majorHAnsi" w:hAnsiTheme="majorHAnsi" w:cstheme="majorHAnsi"/>
          <w:noProof/>
        </w:rPr>
        <w:tab/>
        <w:t>4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kontrasignácia</w:t>
      </w:r>
      <w:r w:rsidRPr="00A27725">
        <w:rPr>
          <w:rFonts w:asciiTheme="majorHAnsi" w:hAnsiTheme="majorHAnsi" w:cstheme="majorHAnsi"/>
          <w:noProof/>
        </w:rPr>
        <w:tab/>
        <w:t>4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konvalidovať</w:t>
      </w:r>
      <w:r w:rsidRPr="00A27725">
        <w:rPr>
          <w:rFonts w:asciiTheme="majorHAnsi" w:hAnsiTheme="majorHAnsi" w:cstheme="majorHAnsi"/>
          <w:noProof/>
        </w:rPr>
        <w:tab/>
        <w:t>3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M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monolegálna ústava</w:t>
      </w:r>
      <w:r w:rsidRPr="00A27725">
        <w:rPr>
          <w:rFonts w:asciiTheme="majorHAnsi" w:hAnsiTheme="majorHAnsi" w:cstheme="majorHAnsi"/>
          <w:noProof/>
        </w:rPr>
        <w:tab/>
        <w:t>3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N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negatívne vymedzenie spravodlivosti</w:t>
      </w:r>
      <w:r w:rsidRPr="00A27725">
        <w:rPr>
          <w:rFonts w:asciiTheme="majorHAnsi" w:hAnsiTheme="majorHAnsi" w:cstheme="majorHAnsi"/>
          <w:noProof/>
        </w:rPr>
        <w:tab/>
        <w:t>5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normatívny akt</w:t>
      </w:r>
      <w:r w:rsidRPr="00A27725">
        <w:rPr>
          <w:rFonts w:asciiTheme="majorHAnsi" w:hAnsiTheme="majorHAnsi" w:cstheme="majorHAnsi"/>
          <w:noProof/>
        </w:rPr>
        <w:tab/>
        <w:t>3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O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obsolétny</w:t>
      </w:r>
      <w:r w:rsidRPr="00A27725">
        <w:rPr>
          <w:rFonts w:asciiTheme="majorHAnsi" w:hAnsiTheme="majorHAnsi" w:cstheme="majorHAnsi"/>
          <w:noProof/>
        </w:rPr>
        <w:tab/>
        <w:t>4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opinio iuris</w:t>
      </w:r>
      <w:r w:rsidRPr="00A27725">
        <w:rPr>
          <w:rFonts w:asciiTheme="majorHAnsi" w:hAnsiTheme="majorHAnsi" w:cstheme="majorHAnsi"/>
          <w:noProof/>
        </w:rPr>
        <w:tab/>
        <w:t>3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opinio juris sive necessitatis</w:t>
      </w:r>
      <w:r w:rsidRPr="00A27725">
        <w:rPr>
          <w:rFonts w:asciiTheme="majorHAnsi" w:hAnsiTheme="majorHAnsi" w:cstheme="majorHAnsi"/>
          <w:noProof/>
        </w:rPr>
        <w:tab/>
        <w:t>3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P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polylegálna ústava</w:t>
      </w:r>
      <w:r w:rsidRPr="00A27725">
        <w:rPr>
          <w:rFonts w:asciiTheme="majorHAnsi" w:hAnsiTheme="majorHAnsi" w:cstheme="majorHAnsi"/>
          <w:noProof/>
        </w:rPr>
        <w:tab/>
        <w:t>3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pozitívne vymedzenie spravodlivosti</w:t>
      </w:r>
      <w:r w:rsidRPr="00A27725">
        <w:rPr>
          <w:rFonts w:asciiTheme="majorHAnsi" w:hAnsiTheme="majorHAnsi" w:cstheme="majorHAnsi"/>
          <w:noProof/>
        </w:rPr>
        <w:tab/>
        <w:t>5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predpojatosť</w:t>
      </w:r>
      <w:r w:rsidRPr="00A27725">
        <w:rPr>
          <w:rFonts w:asciiTheme="majorHAnsi" w:hAnsiTheme="majorHAnsi" w:cstheme="majorHAnsi"/>
          <w:noProof/>
        </w:rPr>
        <w:tab/>
        <w:t>6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R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ratifikovať</w:t>
      </w:r>
      <w:r w:rsidRPr="00A27725">
        <w:rPr>
          <w:rFonts w:asciiTheme="majorHAnsi" w:hAnsiTheme="majorHAnsi" w:cstheme="majorHAnsi"/>
          <w:noProof/>
        </w:rPr>
        <w:tab/>
        <w:t>4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rigidná ústava</w:t>
      </w:r>
      <w:r w:rsidRPr="00A27725">
        <w:rPr>
          <w:rFonts w:asciiTheme="majorHAnsi" w:hAnsiTheme="majorHAnsi" w:cstheme="majorHAnsi"/>
          <w:noProof/>
        </w:rPr>
        <w:tab/>
        <w:t>3</w:t>
      </w:r>
    </w:p>
    <w:p w:rsidR="00A27725" w:rsidRPr="00A27725" w:rsidRDefault="00A27725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A27725">
        <w:rPr>
          <w:rFonts w:asciiTheme="majorHAnsi" w:hAnsiTheme="majorHAnsi" w:cstheme="majorHAnsi"/>
          <w:noProof/>
        </w:rPr>
        <w:t>S</w:t>
      </w:r>
    </w:p>
    <w:p w:rsidR="00A27725" w:rsidRPr="00A27725" w:rsidRDefault="00A27725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A27725">
        <w:rPr>
          <w:rFonts w:asciiTheme="majorHAnsi" w:hAnsiTheme="majorHAnsi" w:cstheme="majorHAnsi"/>
          <w:noProof/>
        </w:rPr>
        <w:t>signácia</w:t>
      </w:r>
      <w:r w:rsidRPr="00A27725">
        <w:rPr>
          <w:rFonts w:asciiTheme="majorHAnsi" w:hAnsiTheme="majorHAnsi" w:cstheme="majorHAnsi"/>
          <w:noProof/>
        </w:rPr>
        <w:tab/>
        <w:t>4</w:t>
      </w:r>
    </w:p>
    <w:p w:rsidR="00A27725" w:rsidRPr="00A27725" w:rsidRDefault="00A27725" w:rsidP="00A27725">
      <w:pPr>
        <w:pStyle w:val="01"/>
        <w:rPr>
          <w:noProof/>
        </w:rPr>
        <w:sectPr w:rsidR="00A27725" w:rsidRPr="00A27725" w:rsidSect="00A27725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A27725" w:rsidRPr="00A27725" w:rsidRDefault="00A27725" w:rsidP="00A27725">
      <w:pPr>
        <w:pStyle w:val="01"/>
      </w:pPr>
      <w:r w:rsidRPr="00A27725">
        <w:fldChar w:fldCharType="end"/>
      </w:r>
    </w:p>
    <w:sectPr w:rsidR="00A27725" w:rsidRPr="00A27725" w:rsidSect="00A27725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2ED" w:rsidRDefault="007402ED" w:rsidP="003F786B">
      <w:pPr>
        <w:spacing w:after="0" w:line="240" w:lineRule="auto"/>
      </w:pPr>
      <w:r>
        <w:separator/>
      </w:r>
    </w:p>
  </w:endnote>
  <w:endnote w:type="continuationSeparator" w:id="0">
    <w:p w:rsidR="007402ED" w:rsidRDefault="007402ED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DF2" w:rsidRDefault="00277DF2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277DF2" w:rsidRDefault="00277DF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77DF2" w:rsidRDefault="00277DF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2ED" w:rsidRDefault="007402ED" w:rsidP="003F786B">
      <w:pPr>
        <w:spacing w:after="0" w:line="240" w:lineRule="auto"/>
      </w:pPr>
      <w:r>
        <w:separator/>
      </w:r>
    </w:p>
  </w:footnote>
  <w:footnote w:type="continuationSeparator" w:id="0">
    <w:p w:rsidR="007402ED" w:rsidRDefault="007402ED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DF2" w:rsidRPr="003F786B" w:rsidRDefault="00277DF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277DF2" w:rsidRPr="003F786B" w:rsidRDefault="00277DF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277DF2" w:rsidRPr="003F786B" w:rsidRDefault="00277DF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DF2" w:rsidRPr="003F786B" w:rsidRDefault="00277DF2" w:rsidP="003F786B">
    <w:pPr>
      <w:pStyle w:val="Hlavika"/>
      <w:jc w:val="center"/>
    </w:pPr>
    <w:r w:rsidRPr="003F786B">
      <w:t>Právnická fakulta</w:t>
    </w:r>
  </w:p>
  <w:p w:rsidR="00277DF2" w:rsidRPr="003F786B" w:rsidRDefault="00277DF2" w:rsidP="003F786B">
    <w:pPr>
      <w:pStyle w:val="Hlavika"/>
      <w:jc w:val="center"/>
    </w:pPr>
    <w:r w:rsidRPr="003F786B">
      <w:t>Univerzita Komenského v Bratislave</w:t>
    </w:r>
  </w:p>
  <w:p w:rsidR="00277DF2" w:rsidRPr="003F786B" w:rsidRDefault="00277DF2" w:rsidP="003F786B">
    <w:pPr>
      <w:pStyle w:val="Hlavika"/>
      <w:jc w:val="center"/>
    </w:pPr>
    <w:r w:rsidRPr="003F786B">
      <w:t>Šafárikovo námestie č. 6</w:t>
    </w:r>
  </w:p>
  <w:p w:rsidR="00277DF2" w:rsidRPr="003F786B" w:rsidRDefault="00277DF2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605"/>
    <w:multiLevelType w:val="hybridMultilevel"/>
    <w:tmpl w:val="F78089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636B"/>
    <w:multiLevelType w:val="hybridMultilevel"/>
    <w:tmpl w:val="B95C8B0C"/>
    <w:lvl w:ilvl="0" w:tplc="A71C815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A766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E1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26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E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D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48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C7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7686F"/>
    <w:multiLevelType w:val="hybridMultilevel"/>
    <w:tmpl w:val="1556D2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909F8"/>
    <w:multiLevelType w:val="hybridMultilevel"/>
    <w:tmpl w:val="5ECA002E"/>
    <w:lvl w:ilvl="0" w:tplc="1C10F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63B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4C2F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A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A3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C8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CD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6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F1201B"/>
    <w:multiLevelType w:val="hybridMultilevel"/>
    <w:tmpl w:val="2D8EEE1A"/>
    <w:lvl w:ilvl="0" w:tplc="FEE09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308BC"/>
    <w:multiLevelType w:val="hybridMultilevel"/>
    <w:tmpl w:val="77207230"/>
    <w:lvl w:ilvl="0" w:tplc="EA56A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47E5E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C1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7EF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86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A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C6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43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A1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AC76A1"/>
    <w:multiLevelType w:val="hybridMultilevel"/>
    <w:tmpl w:val="8C562F4C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24A3B"/>
    <w:multiLevelType w:val="hybridMultilevel"/>
    <w:tmpl w:val="210655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D6ADE"/>
    <w:multiLevelType w:val="hybridMultilevel"/>
    <w:tmpl w:val="5C0CB8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B48D9"/>
    <w:multiLevelType w:val="hybridMultilevel"/>
    <w:tmpl w:val="E4F8B1AE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F0F92"/>
    <w:multiLevelType w:val="hybridMultilevel"/>
    <w:tmpl w:val="E7C2C1F0"/>
    <w:lvl w:ilvl="0" w:tplc="A780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060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5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46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D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E4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62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47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E4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BA67FF"/>
    <w:multiLevelType w:val="hybridMultilevel"/>
    <w:tmpl w:val="2E1C5CD0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063C3"/>
    <w:multiLevelType w:val="hybridMultilevel"/>
    <w:tmpl w:val="19FE8734"/>
    <w:lvl w:ilvl="0" w:tplc="1622680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24EEC"/>
    <w:multiLevelType w:val="hybridMultilevel"/>
    <w:tmpl w:val="112636D6"/>
    <w:lvl w:ilvl="0" w:tplc="1D743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06E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E7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4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C7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AE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23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0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E0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1B4FF0"/>
    <w:multiLevelType w:val="hybridMultilevel"/>
    <w:tmpl w:val="816EF0CA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B4165"/>
    <w:multiLevelType w:val="hybridMultilevel"/>
    <w:tmpl w:val="080CF392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7582"/>
    <w:multiLevelType w:val="hybridMultilevel"/>
    <w:tmpl w:val="AB9ABB7C"/>
    <w:lvl w:ilvl="0" w:tplc="3EAE0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DC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A03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CE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27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6D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B24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C7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F9487B"/>
    <w:multiLevelType w:val="hybridMultilevel"/>
    <w:tmpl w:val="F126C5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D04C6"/>
    <w:multiLevelType w:val="hybridMultilevel"/>
    <w:tmpl w:val="9FC612AC"/>
    <w:lvl w:ilvl="0" w:tplc="D2DE4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C1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06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B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6A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4B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04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6E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8AE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DD7D05"/>
    <w:multiLevelType w:val="hybridMultilevel"/>
    <w:tmpl w:val="959AC3A6"/>
    <w:lvl w:ilvl="0" w:tplc="4D9E0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81A4D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C8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AA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AB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8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86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EF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006813"/>
    <w:multiLevelType w:val="hybridMultilevel"/>
    <w:tmpl w:val="C45818D0"/>
    <w:lvl w:ilvl="0" w:tplc="2CBA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8B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7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41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05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40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2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3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88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F0661C"/>
    <w:multiLevelType w:val="hybridMultilevel"/>
    <w:tmpl w:val="9A842254"/>
    <w:lvl w:ilvl="0" w:tplc="99303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D42FB"/>
    <w:multiLevelType w:val="hybridMultilevel"/>
    <w:tmpl w:val="AD2C131E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92F95"/>
    <w:multiLevelType w:val="hybridMultilevel"/>
    <w:tmpl w:val="2E9685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A57D9"/>
    <w:multiLevelType w:val="hybridMultilevel"/>
    <w:tmpl w:val="B5C4A7AC"/>
    <w:lvl w:ilvl="0" w:tplc="F86CE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26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AD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0A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4F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E5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2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C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6E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2B0FA3"/>
    <w:multiLevelType w:val="hybridMultilevel"/>
    <w:tmpl w:val="2804720C"/>
    <w:lvl w:ilvl="0" w:tplc="BDF85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3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29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EA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22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46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0C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0B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4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8F21D1"/>
    <w:multiLevelType w:val="hybridMultilevel"/>
    <w:tmpl w:val="BFB29C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F0E17"/>
    <w:multiLevelType w:val="hybridMultilevel"/>
    <w:tmpl w:val="7706BF78"/>
    <w:lvl w:ilvl="0" w:tplc="0040D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ED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C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8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AA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23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2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07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61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FA9123C"/>
    <w:multiLevelType w:val="hybridMultilevel"/>
    <w:tmpl w:val="753C17C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86A4B"/>
    <w:multiLevelType w:val="hybridMultilevel"/>
    <w:tmpl w:val="2DBE4494"/>
    <w:lvl w:ilvl="0" w:tplc="3424A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AB4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CF4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6E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C1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4D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E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02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2FD584A"/>
    <w:multiLevelType w:val="hybridMultilevel"/>
    <w:tmpl w:val="DB6A1F48"/>
    <w:lvl w:ilvl="0" w:tplc="4856A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A56AB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E3284"/>
    <w:multiLevelType w:val="hybridMultilevel"/>
    <w:tmpl w:val="788CEE46"/>
    <w:lvl w:ilvl="0" w:tplc="7690D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23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E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85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C3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EF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2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CD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BFF5E84"/>
    <w:multiLevelType w:val="hybridMultilevel"/>
    <w:tmpl w:val="13A045C2"/>
    <w:lvl w:ilvl="0" w:tplc="EA56AB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A56AB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DCD6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2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4E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6B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C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46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4234B8"/>
    <w:multiLevelType w:val="hybridMultilevel"/>
    <w:tmpl w:val="81AC3B3A"/>
    <w:lvl w:ilvl="0" w:tplc="ACE8B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C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8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26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EC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CF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49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43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E4037A"/>
    <w:multiLevelType w:val="hybridMultilevel"/>
    <w:tmpl w:val="4AE485A8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22B91"/>
    <w:multiLevelType w:val="hybridMultilevel"/>
    <w:tmpl w:val="4A04DA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D3648"/>
    <w:multiLevelType w:val="hybridMultilevel"/>
    <w:tmpl w:val="364665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751BE"/>
    <w:multiLevelType w:val="hybridMultilevel"/>
    <w:tmpl w:val="F9561334"/>
    <w:lvl w:ilvl="0" w:tplc="648A8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B1530"/>
    <w:multiLevelType w:val="hybridMultilevel"/>
    <w:tmpl w:val="FE5EE32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C3CA1"/>
    <w:multiLevelType w:val="hybridMultilevel"/>
    <w:tmpl w:val="CCAED5FC"/>
    <w:lvl w:ilvl="0" w:tplc="648A8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4428D"/>
    <w:multiLevelType w:val="hybridMultilevel"/>
    <w:tmpl w:val="14FC5718"/>
    <w:lvl w:ilvl="0" w:tplc="EBA836F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1"/>
  </w:num>
  <w:num w:numId="5">
    <w:abstractNumId w:val="19"/>
  </w:num>
  <w:num w:numId="6">
    <w:abstractNumId w:val="25"/>
  </w:num>
  <w:num w:numId="7">
    <w:abstractNumId w:val="33"/>
  </w:num>
  <w:num w:numId="8">
    <w:abstractNumId w:val="20"/>
  </w:num>
  <w:num w:numId="9">
    <w:abstractNumId w:val="18"/>
  </w:num>
  <w:num w:numId="10">
    <w:abstractNumId w:val="1"/>
  </w:num>
  <w:num w:numId="11">
    <w:abstractNumId w:val="5"/>
  </w:num>
  <w:num w:numId="12">
    <w:abstractNumId w:val="30"/>
  </w:num>
  <w:num w:numId="13">
    <w:abstractNumId w:val="3"/>
  </w:num>
  <w:num w:numId="14">
    <w:abstractNumId w:val="27"/>
  </w:num>
  <w:num w:numId="15">
    <w:abstractNumId w:val="13"/>
  </w:num>
  <w:num w:numId="16">
    <w:abstractNumId w:val="24"/>
  </w:num>
  <w:num w:numId="17">
    <w:abstractNumId w:val="15"/>
  </w:num>
  <w:num w:numId="18">
    <w:abstractNumId w:val="3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6"/>
  </w:num>
  <w:num w:numId="24">
    <w:abstractNumId w:val="26"/>
  </w:num>
  <w:num w:numId="25">
    <w:abstractNumId w:val="22"/>
  </w:num>
  <w:num w:numId="26">
    <w:abstractNumId w:val="34"/>
  </w:num>
  <w:num w:numId="27">
    <w:abstractNumId w:val="7"/>
  </w:num>
  <w:num w:numId="28">
    <w:abstractNumId w:val="36"/>
  </w:num>
  <w:num w:numId="29">
    <w:abstractNumId w:val="32"/>
  </w:num>
  <w:num w:numId="30">
    <w:abstractNumId w:val="23"/>
  </w:num>
  <w:num w:numId="31">
    <w:abstractNumId w:val="38"/>
  </w:num>
  <w:num w:numId="32">
    <w:abstractNumId w:val="28"/>
  </w:num>
  <w:num w:numId="33">
    <w:abstractNumId w:val="10"/>
  </w:num>
  <w:num w:numId="34">
    <w:abstractNumId w:val="4"/>
  </w:num>
  <w:num w:numId="35">
    <w:abstractNumId w:val="12"/>
  </w:num>
  <w:num w:numId="36">
    <w:abstractNumId w:val="35"/>
  </w:num>
  <w:num w:numId="37">
    <w:abstractNumId w:val="39"/>
  </w:num>
  <w:num w:numId="38">
    <w:abstractNumId w:val="37"/>
  </w:num>
  <w:num w:numId="39">
    <w:abstractNumId w:val="40"/>
  </w:num>
  <w:num w:numId="40">
    <w:abstractNumId w:val="0"/>
  </w:num>
  <w:num w:numId="41">
    <w:abstractNumId w:val="2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409D"/>
    <w:rsid w:val="00007A5F"/>
    <w:rsid w:val="00035FCD"/>
    <w:rsid w:val="00046ADC"/>
    <w:rsid w:val="000477A0"/>
    <w:rsid w:val="00084AB2"/>
    <w:rsid w:val="00090C6A"/>
    <w:rsid w:val="000E51E8"/>
    <w:rsid w:val="00112D7C"/>
    <w:rsid w:val="001A222E"/>
    <w:rsid w:val="001A260C"/>
    <w:rsid w:val="001B64B7"/>
    <w:rsid w:val="001C7B9C"/>
    <w:rsid w:val="001E371B"/>
    <w:rsid w:val="001F6905"/>
    <w:rsid w:val="002331B7"/>
    <w:rsid w:val="00243303"/>
    <w:rsid w:val="00277DF2"/>
    <w:rsid w:val="00280C47"/>
    <w:rsid w:val="002A4EDB"/>
    <w:rsid w:val="002A686A"/>
    <w:rsid w:val="00315E42"/>
    <w:rsid w:val="003238BD"/>
    <w:rsid w:val="00341A41"/>
    <w:rsid w:val="00351D56"/>
    <w:rsid w:val="0036066F"/>
    <w:rsid w:val="00376153"/>
    <w:rsid w:val="003F295E"/>
    <w:rsid w:val="003F786B"/>
    <w:rsid w:val="004118AE"/>
    <w:rsid w:val="004235E4"/>
    <w:rsid w:val="004546C9"/>
    <w:rsid w:val="004746ED"/>
    <w:rsid w:val="004B65C8"/>
    <w:rsid w:val="004C7940"/>
    <w:rsid w:val="004E1CA0"/>
    <w:rsid w:val="0050716F"/>
    <w:rsid w:val="00534C74"/>
    <w:rsid w:val="005C6972"/>
    <w:rsid w:val="005D43A7"/>
    <w:rsid w:val="005F10C7"/>
    <w:rsid w:val="00646A9F"/>
    <w:rsid w:val="00665454"/>
    <w:rsid w:val="00676971"/>
    <w:rsid w:val="006901A5"/>
    <w:rsid w:val="00696630"/>
    <w:rsid w:val="006B3D8F"/>
    <w:rsid w:val="00703B2F"/>
    <w:rsid w:val="00734DFF"/>
    <w:rsid w:val="007402ED"/>
    <w:rsid w:val="007623E5"/>
    <w:rsid w:val="00782F48"/>
    <w:rsid w:val="00794B3B"/>
    <w:rsid w:val="007A5617"/>
    <w:rsid w:val="00822F21"/>
    <w:rsid w:val="00833FEF"/>
    <w:rsid w:val="00863646"/>
    <w:rsid w:val="008851F7"/>
    <w:rsid w:val="008C2082"/>
    <w:rsid w:val="008E6675"/>
    <w:rsid w:val="00917C28"/>
    <w:rsid w:val="009335A4"/>
    <w:rsid w:val="009636C3"/>
    <w:rsid w:val="0096741E"/>
    <w:rsid w:val="009B1BA7"/>
    <w:rsid w:val="009B366B"/>
    <w:rsid w:val="009D59A1"/>
    <w:rsid w:val="00A033AF"/>
    <w:rsid w:val="00A27725"/>
    <w:rsid w:val="00A633A2"/>
    <w:rsid w:val="00AC42C1"/>
    <w:rsid w:val="00B0103B"/>
    <w:rsid w:val="00B212CC"/>
    <w:rsid w:val="00B27A53"/>
    <w:rsid w:val="00B678E4"/>
    <w:rsid w:val="00B82D5E"/>
    <w:rsid w:val="00BB39DF"/>
    <w:rsid w:val="00BC6D37"/>
    <w:rsid w:val="00BE30B9"/>
    <w:rsid w:val="00C91F43"/>
    <w:rsid w:val="00CA652B"/>
    <w:rsid w:val="00CD685B"/>
    <w:rsid w:val="00CE287C"/>
    <w:rsid w:val="00CF6B02"/>
    <w:rsid w:val="00D14840"/>
    <w:rsid w:val="00DA25E0"/>
    <w:rsid w:val="00DC55B9"/>
    <w:rsid w:val="00DD7C60"/>
    <w:rsid w:val="00E2185B"/>
    <w:rsid w:val="00EA363B"/>
    <w:rsid w:val="00EB162C"/>
    <w:rsid w:val="00EC1285"/>
    <w:rsid w:val="00F17730"/>
    <w:rsid w:val="00F42F00"/>
    <w:rsid w:val="00F5438A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3CE34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033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7A5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477A0"/>
    <w:rPr>
      <w:color w:val="954F72" w:themeColor="followed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A033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090C6A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090C6A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090C6A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090C6A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090C6A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090C6A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090C6A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090C6A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090C6A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090C6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01">
    <w:name w:val="01"/>
    <w:basedOn w:val="Normlny"/>
    <w:link w:val="01Char"/>
    <w:qFormat/>
    <w:rsid w:val="00F17730"/>
    <w:pPr>
      <w:jc w:val="both"/>
    </w:pPr>
    <w:rPr>
      <w:rFonts w:asciiTheme="majorHAnsi" w:hAnsiTheme="majorHAnsi" w:cstheme="majorHAnsi"/>
    </w:rPr>
  </w:style>
  <w:style w:type="paragraph" w:customStyle="1" w:styleId="1">
    <w:name w:val="§1."/>
    <w:basedOn w:val="Nadpis1"/>
    <w:link w:val="1Char"/>
    <w:qFormat/>
    <w:rsid w:val="001E371B"/>
    <w:pPr>
      <w:jc w:val="both"/>
    </w:pPr>
    <w:rPr>
      <w:b/>
      <w:color w:val="auto"/>
    </w:rPr>
  </w:style>
  <w:style w:type="character" w:customStyle="1" w:styleId="01Char">
    <w:name w:val="01 Char"/>
    <w:basedOn w:val="Predvolenpsmoodseku"/>
    <w:link w:val="01"/>
    <w:rsid w:val="00F17730"/>
    <w:rPr>
      <w:rFonts w:asciiTheme="majorHAnsi" w:hAnsiTheme="majorHAnsi" w:cstheme="majorHAnsi"/>
    </w:rPr>
  </w:style>
  <w:style w:type="paragraph" w:customStyle="1" w:styleId="11">
    <w:name w:val="§1.1."/>
    <w:basedOn w:val="Nadpis2"/>
    <w:link w:val="11Char"/>
    <w:qFormat/>
    <w:rsid w:val="001E371B"/>
    <w:pPr>
      <w:jc w:val="both"/>
    </w:pPr>
    <w:rPr>
      <w:b/>
      <w:color w:val="000000" w:themeColor="text1"/>
    </w:rPr>
  </w:style>
  <w:style w:type="character" w:customStyle="1" w:styleId="1Char">
    <w:name w:val="§1. Char"/>
    <w:basedOn w:val="Nadpis1Char"/>
    <w:link w:val="1"/>
    <w:rsid w:val="001E371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111">
    <w:name w:val="§1.1.1."/>
    <w:basedOn w:val="Nadpis3"/>
    <w:link w:val="111Char"/>
    <w:qFormat/>
    <w:rsid w:val="001E371B"/>
    <w:pPr>
      <w:jc w:val="both"/>
    </w:pPr>
    <w:rPr>
      <w:b/>
      <w:color w:val="auto"/>
    </w:rPr>
  </w:style>
  <w:style w:type="character" w:customStyle="1" w:styleId="11Char">
    <w:name w:val="§1.1. Char"/>
    <w:basedOn w:val="Nadpis2Char"/>
    <w:link w:val="11"/>
    <w:rsid w:val="001E371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111Char">
    <w:name w:val="§1.1.1. Char"/>
    <w:basedOn w:val="Nadpis3Char"/>
    <w:link w:val="111"/>
    <w:rsid w:val="001E371B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6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5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2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0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9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9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6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9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8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8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5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9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9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5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3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20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078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2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1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2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2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2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644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2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2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54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96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37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87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6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6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7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040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42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2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1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95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5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3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9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75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3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4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5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0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0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16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4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0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0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3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05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09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2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0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5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4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2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6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4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8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5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90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4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6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4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5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8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5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0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5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00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3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4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9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4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9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4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6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1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4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8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8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439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76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8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847">
          <w:marLeft w:val="158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89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2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9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63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8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5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7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5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3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4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60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6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5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9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9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0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4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2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2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5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3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7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4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C048-7438-46BA-BCFC-708F0289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7</Pages>
  <Words>1525</Words>
  <Characters>8696</Characters>
  <Application>Microsoft Office Word</Application>
  <DocSecurity>0</DocSecurity>
  <Lines>72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/>
      <vt:lpstr>Ústava</vt:lpstr>
      <vt:lpstr>    Ústavná sila </vt:lpstr>
      <vt:lpstr>    Právna obyčaj </vt:lpstr>
      <vt:lpstr>Ústavodarná moc</vt:lpstr>
      <vt:lpstr>    Pôvodná ústavodarná moc</vt:lpstr>
      <vt:lpstr>    Odvodená ústavodarná moc</vt:lpstr>
      <vt:lpstr>Hlava štátu, výkonná moc</vt:lpstr>
      <vt:lpstr>    Formy vlády</vt:lpstr>
      <vt:lpstr>    Priama a nepriama voľba</vt:lpstr>
      <vt:lpstr>    Zastúpenie hlavy štátu</vt:lpstr>
      <vt:lpstr>Súdna moc</vt:lpstr>
      <vt:lpstr>    Nezávislosť súdnej moci</vt:lpstr>
      <vt:lpstr>    Nestrannosť súdnej moci</vt:lpstr>
      <vt:lpstr>    Procesné inštitúty v rámci súdnej moci</vt:lpstr>
      <vt:lpstr>    Ústavný súd </vt:lpstr>
      <vt:lpstr>        Súdna kontrola ústavnosti</vt:lpstr>
      <vt:lpstr>Zoznam pojmov</vt:lpstr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Macháčová Emma</cp:lastModifiedBy>
  <cp:revision>30</cp:revision>
  <dcterms:created xsi:type="dcterms:W3CDTF">2019-10-10T17:43:00Z</dcterms:created>
  <dcterms:modified xsi:type="dcterms:W3CDTF">2019-11-15T11:06:00Z</dcterms:modified>
</cp:coreProperties>
</file>