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2E6EB" w14:textId="10367FEE" w:rsidR="002D432E" w:rsidRPr="00075317" w:rsidRDefault="00075317" w:rsidP="00075317">
      <w:pPr>
        <w:snapToGrid/>
        <w:spacing w:after="160" w:line="259" w:lineRule="auto"/>
        <w:jc w:val="both"/>
        <w:rPr>
          <w:b/>
          <w:bCs/>
        </w:rPr>
      </w:pPr>
      <w:r>
        <w:rPr>
          <w:b/>
          <w:bCs/>
          <w:u w:val="single"/>
        </w:rPr>
        <w:t xml:space="preserve">1) </w:t>
      </w:r>
      <w:r w:rsidRPr="00075317">
        <w:rPr>
          <w:b/>
          <w:bCs/>
          <w:u w:val="single"/>
        </w:rPr>
        <w:t>Uplatniteľné pravidlá práva EU:</w:t>
      </w:r>
    </w:p>
    <w:p w14:paraId="2686E77C" w14:textId="1EB853D5" w:rsidR="0095491E" w:rsidRPr="0095491E" w:rsidRDefault="0095491E" w:rsidP="0020653B">
      <w:pPr>
        <w:snapToGrid/>
        <w:spacing w:after="160" w:line="259" w:lineRule="auto"/>
        <w:jc w:val="both"/>
      </w:pPr>
      <w:r w:rsidRPr="00075317">
        <w:t>V </w:t>
      </w:r>
      <w:r w:rsidRPr="0095491E">
        <w:rPr>
          <w:b/>
          <w:bCs/>
          <w:u w:val="single"/>
        </w:rPr>
        <w:t>prípade rozporu</w:t>
      </w:r>
      <w:r w:rsidRPr="0095491E">
        <w:t xml:space="preserve"> vnútroštátneho práva a práv</w:t>
      </w:r>
      <w:r>
        <w:t>a</w:t>
      </w:r>
      <w:r w:rsidRPr="0095491E">
        <w:t xml:space="preserve"> EU platí:</w:t>
      </w:r>
    </w:p>
    <w:p w14:paraId="1D9B5A4F" w14:textId="290EC2AB" w:rsidR="0095491E" w:rsidRPr="0095491E" w:rsidRDefault="0095491E" w:rsidP="0095491E">
      <w:pPr>
        <w:pStyle w:val="Odsekzoznamu"/>
        <w:numPr>
          <w:ilvl w:val="0"/>
          <w:numId w:val="4"/>
        </w:numPr>
        <w:jc w:val="both"/>
        <w:rPr>
          <w:b/>
          <w:bCs/>
          <w:u w:val="single"/>
        </w:rPr>
      </w:pPr>
      <w:r w:rsidRPr="0095491E">
        <w:rPr>
          <w:b/>
          <w:bCs/>
          <w:u w:val="single"/>
        </w:rPr>
        <w:t>A</w:t>
      </w:r>
      <w:r w:rsidRPr="0095491E">
        <w:rPr>
          <w:b/>
          <w:bCs/>
          <w:u w:val="single"/>
        </w:rPr>
        <w:t>bsolútn</w:t>
      </w:r>
      <w:r w:rsidRPr="0095491E">
        <w:rPr>
          <w:b/>
          <w:bCs/>
          <w:u w:val="single"/>
        </w:rPr>
        <w:t>a</w:t>
      </w:r>
      <w:r w:rsidRPr="0095491E">
        <w:rPr>
          <w:b/>
          <w:bCs/>
          <w:u w:val="single"/>
        </w:rPr>
        <w:t xml:space="preserve"> prednosť</w:t>
      </w:r>
      <w:r w:rsidRPr="0095491E">
        <w:rPr>
          <w:b/>
          <w:bCs/>
        </w:rPr>
        <w:t xml:space="preserve"> </w:t>
      </w:r>
      <w:r w:rsidRPr="0095491E">
        <w:t>práva Únie</w:t>
      </w:r>
      <w:r w:rsidRPr="0095491E">
        <w:rPr>
          <w:b/>
          <w:bCs/>
        </w:rPr>
        <w:t xml:space="preserve"> </w:t>
      </w:r>
      <w:r w:rsidRPr="0095491E">
        <w:t xml:space="preserve">pred kolidujúcim vnútroštátnym právom. </w:t>
      </w:r>
    </w:p>
    <w:p w14:paraId="4D5DABF9" w14:textId="77777777" w:rsidR="0095491E" w:rsidRPr="0095491E" w:rsidRDefault="0095491E" w:rsidP="0095491E">
      <w:pPr>
        <w:pStyle w:val="Odsekzoznamu"/>
        <w:snapToGrid/>
        <w:spacing w:after="160" w:line="259" w:lineRule="auto"/>
        <w:jc w:val="both"/>
      </w:pPr>
    </w:p>
    <w:p w14:paraId="3DCF0263" w14:textId="49AEAE33" w:rsidR="0095491E" w:rsidRPr="0095491E" w:rsidRDefault="002D432E" w:rsidP="0020653B">
      <w:pPr>
        <w:pStyle w:val="Odsekzoznamu"/>
        <w:numPr>
          <w:ilvl w:val="0"/>
          <w:numId w:val="4"/>
        </w:numPr>
        <w:snapToGrid/>
        <w:spacing w:after="160" w:line="259" w:lineRule="auto"/>
        <w:jc w:val="both"/>
      </w:pPr>
      <w:r w:rsidRPr="0095491E">
        <w:rPr>
          <w:b/>
          <w:bCs/>
          <w:u w:val="single"/>
        </w:rPr>
        <w:t>Povinnosť aplikácie práva EÚ</w:t>
      </w:r>
      <w:r w:rsidRPr="0095491E">
        <w:t xml:space="preserve"> — článok 4 ods. 3 Zmluvy o EÚ — Členské štáty prijmú všetky opatrenia všeobecnej alebo osobitnej povahy, aby zabezpečili plnenie záväzkov vyplývajúcich zo zmlúv alebo z aktov inštitúcií Únie. — Členské štáty pomáhajú Únii pri plnení jej úloh a neprijmú žiadne opatrenie, ktoré by mohlo ohroziť dosiahnutie cieľov Únie.</w:t>
      </w:r>
    </w:p>
    <w:p w14:paraId="680EF9CD" w14:textId="77777777" w:rsidR="0095491E" w:rsidRPr="0095491E" w:rsidRDefault="0095491E" w:rsidP="0095491E">
      <w:pPr>
        <w:pStyle w:val="Odsekzoznamu"/>
        <w:snapToGrid/>
        <w:spacing w:after="160" w:line="259" w:lineRule="auto"/>
        <w:jc w:val="both"/>
      </w:pPr>
    </w:p>
    <w:p w14:paraId="54D94A0D" w14:textId="77777777" w:rsidR="0095491E" w:rsidRPr="0095491E" w:rsidRDefault="005C36B0" w:rsidP="0020653B">
      <w:pPr>
        <w:pStyle w:val="Odsekzoznamu"/>
        <w:numPr>
          <w:ilvl w:val="0"/>
          <w:numId w:val="4"/>
        </w:numPr>
        <w:snapToGrid/>
        <w:spacing w:after="160" w:line="259" w:lineRule="auto"/>
        <w:jc w:val="both"/>
      </w:pPr>
      <w:r w:rsidRPr="0095491E">
        <w:t>P</w:t>
      </w:r>
      <w:r w:rsidRPr="0095491E">
        <w:t xml:space="preserve">ovinnosť súdu </w:t>
      </w:r>
      <w:r w:rsidRPr="0095491E">
        <w:rPr>
          <w:b/>
          <w:bCs/>
          <w:u w:val="single"/>
        </w:rPr>
        <w:t>neaplikovať vnútroštátne ustanovenie nezlučiteľné s právom Únie</w:t>
      </w:r>
      <w:r w:rsidRPr="0095491E">
        <w:t xml:space="preserve"> — ak </w:t>
      </w:r>
      <w:proofErr w:type="spellStart"/>
      <w:r w:rsidRPr="0095491E">
        <w:t>eurokonformný</w:t>
      </w:r>
      <w:proofErr w:type="spellEnd"/>
      <w:r w:rsidRPr="0095491E">
        <w:t xml:space="preserve"> výklad vnútroštátneho práva nie je možný, je vnútroštátny súd povinný v medziach svojich právomocí a voľnej úvahy aplikovať úniové právo ako celok a chrániť práva, ktoré priznáva toto právo jednotlivcom a to tak, že vychádzajúc zo zásady prednosti práva Únie nesmie aplikovať žiadne skoršie alebo neskoršie ustanovenie vnútroštátneho práva, ktoré by bolo v rozpore s právom Únie (ČEZ, C-115/08, 27.10.2009, bod 138; </w:t>
      </w:r>
      <w:proofErr w:type="spellStart"/>
      <w:r w:rsidRPr="0095491E">
        <w:t>Luigi</w:t>
      </w:r>
      <w:proofErr w:type="spellEnd"/>
      <w:r w:rsidRPr="0095491E">
        <w:t xml:space="preserve">, C-357/06, 18.12.2007, Zb. s. I-12311, body 28 a 29; </w:t>
      </w:r>
      <w:proofErr w:type="spellStart"/>
      <w:r w:rsidRPr="0095491E">
        <w:t>Engelbrecht</w:t>
      </w:r>
      <w:proofErr w:type="spellEnd"/>
      <w:r w:rsidRPr="0095491E">
        <w:t xml:space="preserve">, C-262/97, 26.9.2000, Zb. s. I-7321, bod 39 a 40; IN.CO.GE., C-10 a 22/97, 22.10.1998, Zb. s. I-6307, bod 20; Murphy, 157/86, 4.2.1988, Zb. s. 673, bod 11; </w:t>
      </w:r>
      <w:proofErr w:type="spellStart"/>
      <w:r w:rsidRPr="0095491E">
        <w:t>Simmenthal</w:t>
      </w:r>
      <w:proofErr w:type="spellEnd"/>
      <w:r w:rsidRPr="0095491E">
        <w:t>, 106/77, 9.3.1978, Zb. s. 629, body 21 až 24)</w:t>
      </w:r>
    </w:p>
    <w:p w14:paraId="2EFAC4E4" w14:textId="77777777" w:rsidR="0095491E" w:rsidRPr="0095491E" w:rsidRDefault="0095491E" w:rsidP="0095491E">
      <w:pPr>
        <w:pStyle w:val="Odsekzoznamu"/>
      </w:pPr>
    </w:p>
    <w:p w14:paraId="489E3A61" w14:textId="77777777" w:rsidR="0095491E" w:rsidRPr="0095491E" w:rsidRDefault="005C36B0" w:rsidP="0020653B">
      <w:pPr>
        <w:pStyle w:val="Odsekzoznamu"/>
        <w:numPr>
          <w:ilvl w:val="0"/>
          <w:numId w:val="4"/>
        </w:numPr>
        <w:snapToGrid/>
        <w:spacing w:after="160" w:line="259" w:lineRule="auto"/>
        <w:jc w:val="both"/>
      </w:pPr>
      <w:r w:rsidRPr="0095491E">
        <w:t>V</w:t>
      </w:r>
      <w:r w:rsidRPr="0095491E">
        <w:t xml:space="preserve">nútroštátny súd musí </w:t>
      </w:r>
      <w:r w:rsidRPr="0095491E">
        <w:rPr>
          <w:b/>
          <w:bCs/>
          <w:u w:val="single"/>
        </w:rPr>
        <w:t>rešpektovať zásadu prednosti úniového práva</w:t>
      </w:r>
      <w:r w:rsidRPr="0095491E">
        <w:t xml:space="preserve"> a nemôže sa zbaviť povinnosti uprednostniť úniovú normu pred vnútroštátnou normou odvolávajúc sa na skutočnosť, že o tom môže rozhodovať jedine ústavný súd. </w:t>
      </w:r>
    </w:p>
    <w:p w14:paraId="79326C9B" w14:textId="77777777" w:rsidR="0095491E" w:rsidRPr="0095491E" w:rsidRDefault="0095491E" w:rsidP="0095491E">
      <w:pPr>
        <w:pStyle w:val="Odsekzoznamu"/>
      </w:pPr>
    </w:p>
    <w:p w14:paraId="61F2DB4A" w14:textId="4321A2BB" w:rsidR="005C36B0" w:rsidRPr="0095491E" w:rsidRDefault="005C36B0" w:rsidP="0020653B">
      <w:pPr>
        <w:pStyle w:val="Odsekzoznamu"/>
        <w:numPr>
          <w:ilvl w:val="0"/>
          <w:numId w:val="4"/>
        </w:numPr>
        <w:snapToGrid/>
        <w:spacing w:after="160" w:line="259" w:lineRule="auto"/>
        <w:jc w:val="both"/>
      </w:pPr>
      <w:r w:rsidRPr="0095491E">
        <w:t xml:space="preserve">Súd je povinný </w:t>
      </w:r>
      <w:r w:rsidRPr="0095491E">
        <w:rPr>
          <w:b/>
          <w:bCs/>
          <w:u w:val="single"/>
        </w:rPr>
        <w:t>bezodkladne neaplikovať nezlučiteľné vnútroštátne ustanovenie</w:t>
      </w:r>
      <w:r w:rsidRPr="0095491E">
        <w:t xml:space="preserve"> aj bez toho, aby požiadal alebo vyčkal na jeho predchádzajúcu legislatívnu úpravu, ktorou by sa malo uviesť do súladu s úniovým právom (napr. </w:t>
      </w:r>
      <w:proofErr w:type="spellStart"/>
      <w:r w:rsidRPr="0095491E">
        <w:t>Jonkman</w:t>
      </w:r>
      <w:proofErr w:type="spellEnd"/>
      <w:r w:rsidRPr="0095491E">
        <w:t xml:space="preserve">, C-231 až 233/06, 21.6.2007, Zb. s. I-5149, bod 39; </w:t>
      </w:r>
      <w:proofErr w:type="spellStart"/>
      <w:r w:rsidRPr="0095491E">
        <w:t>Molinari</w:t>
      </w:r>
      <w:proofErr w:type="spellEnd"/>
      <w:r w:rsidRPr="0095491E">
        <w:t xml:space="preserve">, C-128 až 131/07, </w:t>
      </w:r>
      <w:proofErr w:type="spellStart"/>
      <w:r w:rsidRPr="0095491E">
        <w:t>Uz</w:t>
      </w:r>
      <w:proofErr w:type="spellEnd"/>
      <w:r w:rsidRPr="0095491E">
        <w:t>. 16.1.2008, Zb. s. I-4, bod 23)</w:t>
      </w:r>
    </w:p>
    <w:p w14:paraId="7347C547" w14:textId="77777777" w:rsidR="0095491E" w:rsidRPr="0095491E" w:rsidRDefault="0095491E" w:rsidP="0095491E">
      <w:pPr>
        <w:pStyle w:val="Odsekzoznamu"/>
      </w:pPr>
    </w:p>
    <w:p w14:paraId="7C6CC17D" w14:textId="033A91F5" w:rsidR="0095491E" w:rsidRPr="0095491E" w:rsidRDefault="0095491E" w:rsidP="0020653B">
      <w:pPr>
        <w:pStyle w:val="Odsekzoznamu"/>
        <w:numPr>
          <w:ilvl w:val="0"/>
          <w:numId w:val="4"/>
        </w:numPr>
        <w:snapToGrid/>
        <w:spacing w:after="160" w:line="259" w:lineRule="auto"/>
        <w:jc w:val="both"/>
      </w:pPr>
      <w:r w:rsidRPr="0095491E">
        <w:t xml:space="preserve">Zásada </w:t>
      </w:r>
      <w:r w:rsidRPr="0095491E">
        <w:rPr>
          <w:b/>
          <w:bCs/>
          <w:u w:val="single"/>
        </w:rPr>
        <w:t>proporcionality a subsidiarity</w:t>
      </w:r>
      <w:r w:rsidRPr="0095491E">
        <w:t xml:space="preserve"> podľa čl. 5 ZFEU </w:t>
      </w:r>
    </w:p>
    <w:p w14:paraId="481F4C9D" w14:textId="77777777" w:rsidR="0095491E" w:rsidRPr="0095491E" w:rsidRDefault="0095491E" w:rsidP="0095491E">
      <w:pPr>
        <w:pStyle w:val="Odsekzoznamu"/>
      </w:pPr>
    </w:p>
    <w:p w14:paraId="32161EE8" w14:textId="3A56FE7E" w:rsidR="0095491E" w:rsidRPr="0095491E" w:rsidRDefault="0095491E" w:rsidP="0095491E">
      <w:pPr>
        <w:pStyle w:val="Odsekzoznamu"/>
        <w:numPr>
          <w:ilvl w:val="0"/>
          <w:numId w:val="4"/>
        </w:numPr>
        <w:jc w:val="both"/>
        <w:rPr>
          <w:iCs/>
        </w:rPr>
      </w:pPr>
      <w:r w:rsidRPr="0095491E">
        <w:t xml:space="preserve">Čl. 288 ZFEÚ </w:t>
      </w:r>
      <w:r w:rsidRPr="0095491E">
        <w:t xml:space="preserve">: </w:t>
      </w:r>
      <w:r w:rsidRPr="0095491E">
        <w:t xml:space="preserve"> </w:t>
      </w:r>
      <w:r w:rsidRPr="0095491E">
        <w:rPr>
          <w:iCs/>
        </w:rPr>
        <w:t>„Smernica je záväzná pre každý členský štát, ktorému je určená, a to vzhľadom na výsledok, ktorý sa má dosiahnuť, pričom sa voľba foriem a metód ponecháva vnútroštátnym orgánom.“</w:t>
      </w:r>
    </w:p>
    <w:p w14:paraId="78FE2005" w14:textId="77777777" w:rsidR="0095491E" w:rsidRPr="0095491E" w:rsidRDefault="0095491E" w:rsidP="0095491E">
      <w:pPr>
        <w:pStyle w:val="Odsekzoznamu"/>
        <w:snapToGrid/>
        <w:spacing w:after="160" w:line="259" w:lineRule="auto"/>
        <w:jc w:val="both"/>
        <w:rPr>
          <w:iCs/>
        </w:rPr>
      </w:pPr>
    </w:p>
    <w:p w14:paraId="4C5AF1BD" w14:textId="21A607D8" w:rsidR="002D432E" w:rsidRPr="00075317" w:rsidRDefault="002D432E" w:rsidP="0020653B">
      <w:pPr>
        <w:snapToGrid/>
        <w:spacing w:after="160" w:line="259" w:lineRule="auto"/>
        <w:jc w:val="both"/>
        <w:rPr>
          <w:b/>
          <w:bCs/>
          <w:u w:val="single"/>
        </w:rPr>
      </w:pPr>
      <w:r w:rsidRPr="00075317">
        <w:rPr>
          <w:b/>
          <w:bCs/>
          <w:u w:val="single"/>
        </w:rPr>
        <w:t>2)</w:t>
      </w:r>
      <w:r w:rsidR="00075317" w:rsidRPr="00075317">
        <w:rPr>
          <w:b/>
          <w:bCs/>
          <w:u w:val="single"/>
        </w:rPr>
        <w:t xml:space="preserve"> Relevantnosť právnej sily odporujúcich predpisov:</w:t>
      </w:r>
    </w:p>
    <w:p w14:paraId="188B7D51" w14:textId="77777777" w:rsidR="0095491E" w:rsidRPr="0095491E" w:rsidRDefault="0095491E" w:rsidP="0020653B">
      <w:pPr>
        <w:jc w:val="both"/>
      </w:pPr>
      <w:r w:rsidRPr="0095491E">
        <w:t xml:space="preserve">V prípade rozporu s právom EU </w:t>
      </w:r>
      <w:r w:rsidRPr="0095491E">
        <w:rPr>
          <w:b/>
          <w:bCs/>
          <w:u w:val="single"/>
        </w:rPr>
        <w:t>nie je relevantné</w:t>
      </w:r>
      <w:r w:rsidRPr="0095491E">
        <w:t>, akú právnu silu má predpis vnútroštátneho práva:</w:t>
      </w:r>
    </w:p>
    <w:p w14:paraId="4546C0D0" w14:textId="77777777" w:rsidR="0095491E" w:rsidRPr="0095491E" w:rsidRDefault="005C36B0" w:rsidP="0095491E">
      <w:pPr>
        <w:pStyle w:val="Odsekzoznamu"/>
        <w:numPr>
          <w:ilvl w:val="0"/>
          <w:numId w:val="5"/>
        </w:numPr>
        <w:jc w:val="both"/>
        <w:rPr>
          <w:b/>
          <w:bCs/>
          <w:u w:val="single"/>
        </w:rPr>
      </w:pPr>
      <w:r w:rsidRPr="0095491E">
        <w:t xml:space="preserve">Súdny dvor EÚ </w:t>
      </w:r>
      <w:r w:rsidR="0020653B" w:rsidRPr="0095491E">
        <w:t xml:space="preserve">vo veci </w:t>
      </w:r>
      <w:r w:rsidR="0020653B" w:rsidRPr="0095491E">
        <w:rPr>
          <w:bCs/>
          <w:i/>
          <w:iCs/>
        </w:rPr>
        <w:t xml:space="preserve">van </w:t>
      </w:r>
      <w:proofErr w:type="spellStart"/>
      <w:r w:rsidR="0020653B" w:rsidRPr="0095491E">
        <w:rPr>
          <w:bCs/>
          <w:i/>
          <w:iCs/>
        </w:rPr>
        <w:t>Gend</w:t>
      </w:r>
      <w:proofErr w:type="spellEnd"/>
      <w:r w:rsidR="0020653B" w:rsidRPr="0095491E">
        <w:rPr>
          <w:bCs/>
          <w:i/>
          <w:iCs/>
        </w:rPr>
        <w:t xml:space="preserve"> and </w:t>
      </w:r>
      <w:proofErr w:type="spellStart"/>
      <w:r w:rsidR="0020653B" w:rsidRPr="0095491E">
        <w:rPr>
          <w:bCs/>
          <w:i/>
          <w:iCs/>
        </w:rPr>
        <w:t>Loos</w:t>
      </w:r>
      <w:proofErr w:type="spellEnd"/>
      <w:r w:rsidR="0020653B" w:rsidRPr="0095491E">
        <w:rPr>
          <w:bCs/>
          <w:iCs/>
        </w:rPr>
        <w:t xml:space="preserve"> , a v prípade </w:t>
      </w:r>
      <w:proofErr w:type="spellStart"/>
      <w:r w:rsidR="0020653B" w:rsidRPr="0095491E">
        <w:rPr>
          <w:bCs/>
          <w:i/>
          <w:iCs/>
        </w:rPr>
        <w:t>Costa</w:t>
      </w:r>
      <w:proofErr w:type="spellEnd"/>
      <w:r w:rsidR="0020653B" w:rsidRPr="0095491E">
        <w:rPr>
          <w:bCs/>
          <w:i/>
          <w:iCs/>
        </w:rPr>
        <w:t xml:space="preserve"> v. E.N.E.L.</w:t>
      </w:r>
      <w:r w:rsidR="0020653B" w:rsidRPr="0095491E">
        <w:rPr>
          <w:bCs/>
          <w:iCs/>
        </w:rPr>
        <w:t>,</w:t>
      </w:r>
      <w:r w:rsidR="0020653B" w:rsidRPr="0095491E">
        <w:rPr>
          <w:bCs/>
          <w:iCs/>
        </w:rPr>
        <w:t xml:space="preserve">  </w:t>
      </w:r>
      <w:r w:rsidRPr="0095491E">
        <w:t>priznal právu Únie priame účinky vo vnútroštátnych právnych poriadkoch</w:t>
      </w:r>
      <w:r w:rsidR="0020653B" w:rsidRPr="0095491E">
        <w:t>. V</w:t>
      </w:r>
      <w:r w:rsidRPr="0095491E">
        <w:t xml:space="preserve"> prípade jeho kolízie s vnútroštátnym právom mu priznal </w:t>
      </w:r>
      <w:r w:rsidRPr="0095491E">
        <w:rPr>
          <w:b/>
          <w:bCs/>
          <w:u w:val="single"/>
        </w:rPr>
        <w:t>aplikačnú prednosť</w:t>
      </w:r>
      <w:r w:rsidR="0020653B" w:rsidRPr="0095491E">
        <w:t xml:space="preserve"> -</w:t>
      </w:r>
      <w:r w:rsidRPr="0095491E">
        <w:t xml:space="preserve"> Súdny dvor EÚ ustanovil, že </w:t>
      </w:r>
      <w:r w:rsidRPr="0095491E">
        <w:rPr>
          <w:b/>
          <w:bCs/>
          <w:u w:val="single"/>
        </w:rPr>
        <w:t>status kolidujúceho vnútroštátneho práva nie je pre prednostnú aplikáciu práva Únie podstatný.</w:t>
      </w:r>
    </w:p>
    <w:p w14:paraId="64E81DC9" w14:textId="77777777" w:rsidR="0095491E" w:rsidRPr="0095491E" w:rsidRDefault="0095491E" w:rsidP="0095491E">
      <w:pPr>
        <w:pStyle w:val="Odsekzoznamu"/>
        <w:jc w:val="both"/>
        <w:rPr>
          <w:b/>
          <w:bCs/>
          <w:u w:val="single"/>
        </w:rPr>
      </w:pPr>
    </w:p>
    <w:p w14:paraId="5D93267A" w14:textId="77777777" w:rsidR="0095491E" w:rsidRPr="0095491E" w:rsidRDefault="0020653B" w:rsidP="0020653B">
      <w:pPr>
        <w:pStyle w:val="Odsekzoznamu"/>
        <w:numPr>
          <w:ilvl w:val="0"/>
          <w:numId w:val="5"/>
        </w:numPr>
        <w:jc w:val="both"/>
        <w:rPr>
          <w:b/>
          <w:bCs/>
          <w:u w:val="single"/>
        </w:rPr>
      </w:pPr>
      <w:r w:rsidRPr="0095491E">
        <w:lastRenderedPageBreak/>
        <w:t xml:space="preserve">Podľa rozsudku </w:t>
      </w:r>
      <w:r w:rsidRPr="0095491E">
        <w:t xml:space="preserve">Súdneho dvora vo veci 11/70 </w:t>
      </w:r>
      <w:proofErr w:type="spellStart"/>
      <w:r w:rsidRPr="0095491E">
        <w:rPr>
          <w:i/>
        </w:rPr>
        <w:t>Internationale</w:t>
      </w:r>
      <w:proofErr w:type="spellEnd"/>
      <w:r w:rsidRPr="0095491E">
        <w:rPr>
          <w:i/>
        </w:rPr>
        <w:t xml:space="preserve"> </w:t>
      </w:r>
      <w:proofErr w:type="spellStart"/>
      <w:r w:rsidRPr="0095491E">
        <w:rPr>
          <w:i/>
        </w:rPr>
        <w:t>Handelsgesellschaft</w:t>
      </w:r>
      <w:proofErr w:type="spellEnd"/>
      <w:r w:rsidRPr="0095491E">
        <w:t xml:space="preserve"> </w:t>
      </w:r>
      <w:r w:rsidR="005C36B0" w:rsidRPr="0095491E">
        <w:rPr>
          <w:b/>
          <w:bCs/>
          <w:u w:val="single"/>
        </w:rPr>
        <w:t>ani vnútroštátne právo ústavného charakteru nemôže zabrániť prednostnému uplatneniu práva EÚ</w:t>
      </w:r>
      <w:r w:rsidR="005C36B0" w:rsidRPr="0095491E">
        <w:t xml:space="preserve"> Súdny dvor priznal právu Únie </w:t>
      </w:r>
      <w:r w:rsidR="005C36B0" w:rsidRPr="0095491E">
        <w:rPr>
          <w:b/>
          <w:bCs/>
          <w:u w:val="single"/>
        </w:rPr>
        <w:t>absolútnu prednosť</w:t>
      </w:r>
      <w:r w:rsidR="005C36B0" w:rsidRPr="0095491E">
        <w:rPr>
          <w:b/>
          <w:bCs/>
        </w:rPr>
        <w:t xml:space="preserve"> </w:t>
      </w:r>
      <w:r w:rsidR="005C36B0" w:rsidRPr="0095491E">
        <w:t xml:space="preserve">pred kolidujúcim vnútroštátnym právom. </w:t>
      </w:r>
    </w:p>
    <w:p w14:paraId="713806EF" w14:textId="77777777" w:rsidR="0095491E" w:rsidRPr="0095491E" w:rsidRDefault="0095491E" w:rsidP="0095491E">
      <w:pPr>
        <w:pStyle w:val="Odsekzoznamu"/>
      </w:pPr>
    </w:p>
    <w:p w14:paraId="2D6D92F3" w14:textId="099CC08A" w:rsidR="005C36B0" w:rsidRPr="0095491E" w:rsidRDefault="005C36B0" w:rsidP="0020653B">
      <w:pPr>
        <w:pStyle w:val="Odsekzoznamu"/>
        <w:numPr>
          <w:ilvl w:val="0"/>
          <w:numId w:val="5"/>
        </w:numPr>
        <w:jc w:val="both"/>
        <w:rPr>
          <w:b/>
          <w:bCs/>
          <w:u w:val="single"/>
        </w:rPr>
      </w:pPr>
      <w:r w:rsidRPr="0095491E">
        <w:t xml:space="preserve">Na dôsledky uplatnenia princípu prednosti práva EÚ Súdny dvor poukázal vo svojom rozhodnutí vo veci </w:t>
      </w:r>
      <w:proofErr w:type="spellStart"/>
      <w:r w:rsidRPr="0095491E">
        <w:rPr>
          <w:i/>
        </w:rPr>
        <w:t>Simmenthal</w:t>
      </w:r>
      <w:proofErr w:type="spellEnd"/>
      <w:r w:rsidRPr="0095491E">
        <w:rPr>
          <w:i/>
        </w:rPr>
        <w:t xml:space="preserve"> </w:t>
      </w:r>
      <w:r w:rsidRPr="0095491E">
        <w:t>(106/77)</w:t>
      </w:r>
      <w:r w:rsidRPr="0095491E">
        <w:rPr>
          <w:i/>
        </w:rPr>
        <w:t xml:space="preserve">. </w:t>
      </w:r>
      <w:r w:rsidR="0020653B" w:rsidRPr="0095491E">
        <w:rPr>
          <w:i/>
        </w:rPr>
        <w:t xml:space="preserve">- </w:t>
      </w:r>
      <w:r w:rsidR="0020653B" w:rsidRPr="0095491E">
        <w:t>S</w:t>
      </w:r>
      <w:r w:rsidRPr="0095491E">
        <w:t xml:space="preserve"> požiadavkami a vlastnosťami úniového práva je nezlučiteľné </w:t>
      </w:r>
      <w:r w:rsidRPr="0095491E">
        <w:rPr>
          <w:b/>
          <w:bCs/>
          <w:u w:val="single"/>
        </w:rPr>
        <w:t>akékoľvek ustanovenie vnútroštátneho právneho poriadku alebo legislatívna, správna alebo súdna prax, ktorá by znižovala účinky úniového práva</w:t>
      </w:r>
      <w:r w:rsidRPr="0095491E">
        <w:t xml:space="preserve"> tým, že by príslušnému súdu v okamihu aplikácie práva Únie odopierala právomoc urobiť všetko, čo je potrebné na neuplatnenie vnútroštátnych ustanovení, ktoré sú prípadnou, hoci len dočasnou, prekážkou úplnej účinnosti úniových noriem (</w:t>
      </w:r>
      <w:proofErr w:type="spellStart"/>
      <w:r w:rsidRPr="0095491E">
        <w:t>Larsy</w:t>
      </w:r>
      <w:proofErr w:type="spellEnd"/>
      <w:r w:rsidRPr="0095491E">
        <w:t xml:space="preserve">, C-118/00, 28.6.2001, Zb. s. I-5063, bod 51; </w:t>
      </w:r>
      <w:proofErr w:type="spellStart"/>
      <w:r w:rsidRPr="0095491E">
        <w:t>Simmenthal</w:t>
      </w:r>
      <w:proofErr w:type="spellEnd"/>
      <w:r w:rsidRPr="0095491E">
        <w:t>, 106/77, 9.3.1978, Zb. s. 629, bod 22)</w:t>
      </w:r>
    </w:p>
    <w:p w14:paraId="5A7E86D9" w14:textId="56E0EAC3" w:rsidR="00D417CA" w:rsidRPr="0095491E" w:rsidRDefault="00D417CA" w:rsidP="0020653B">
      <w:pPr>
        <w:jc w:val="both"/>
      </w:pPr>
    </w:p>
    <w:p w14:paraId="3BD877CC" w14:textId="77777777" w:rsidR="0095491E" w:rsidRPr="0095491E" w:rsidRDefault="00A66CB9" w:rsidP="0095491E">
      <w:pPr>
        <w:jc w:val="both"/>
        <w:rPr>
          <w:b/>
          <w:bCs/>
          <w:u w:val="single"/>
        </w:rPr>
      </w:pPr>
      <w:r w:rsidRPr="0095491E">
        <w:rPr>
          <w:b/>
          <w:bCs/>
          <w:u w:val="single"/>
        </w:rPr>
        <w:t>Podľa ZFEU :</w:t>
      </w:r>
    </w:p>
    <w:p w14:paraId="25686537" w14:textId="77777777" w:rsidR="0095491E" w:rsidRPr="0095491E" w:rsidRDefault="00A66CB9" w:rsidP="0095491E">
      <w:pPr>
        <w:pStyle w:val="Odsekzoznamu"/>
        <w:numPr>
          <w:ilvl w:val="0"/>
          <w:numId w:val="5"/>
        </w:numPr>
        <w:jc w:val="both"/>
        <w:rPr>
          <w:b/>
          <w:bCs/>
          <w:u w:val="single"/>
        </w:rPr>
      </w:pPr>
      <w:r w:rsidRPr="0095491E">
        <w:rPr>
          <w:iCs/>
        </w:rPr>
        <w:t>čl. 288</w:t>
      </w:r>
      <w:r w:rsidRPr="0095491E">
        <w:rPr>
          <w:iCs/>
        </w:rPr>
        <w:t xml:space="preserve"> :</w:t>
      </w:r>
      <w:r w:rsidRPr="0095491E">
        <w:rPr>
          <w:iCs/>
        </w:rPr>
        <w:t xml:space="preserve"> „Na účely výkonu právomocí Únie inštitúcie prijímajú nariadenia, smernice, rozhodnutia, odporúčania a stanoviská.“ </w:t>
      </w:r>
    </w:p>
    <w:p w14:paraId="62E3DFDB" w14:textId="58F90717" w:rsidR="0095491E" w:rsidRPr="0095491E" w:rsidRDefault="0095491E" w:rsidP="0095491E">
      <w:pPr>
        <w:pStyle w:val="Odsekzoznamu"/>
        <w:numPr>
          <w:ilvl w:val="0"/>
          <w:numId w:val="5"/>
        </w:numPr>
        <w:jc w:val="both"/>
        <w:rPr>
          <w:b/>
          <w:bCs/>
          <w:u w:val="single"/>
        </w:rPr>
      </w:pPr>
      <w:r w:rsidRPr="0095491E">
        <w:rPr>
          <w:iCs/>
        </w:rPr>
        <w:t xml:space="preserve">čl. 288 </w:t>
      </w:r>
      <w:r w:rsidR="00A66CB9" w:rsidRPr="0095491E">
        <w:rPr>
          <w:iCs/>
        </w:rPr>
        <w:t>„Smernica je záväzná pre každý členský štát, ktorému je určená, a to vzhľadom na výsledok, ktorý sa má dosiahnuť, pričom sa voľba foriem a metód ponecháva vnútroštátnym orgánom.“</w:t>
      </w:r>
    </w:p>
    <w:p w14:paraId="66B83BBA" w14:textId="206F24CF" w:rsidR="00A66CB9" w:rsidRPr="0095491E" w:rsidRDefault="00A66CB9" w:rsidP="0095491E">
      <w:pPr>
        <w:pStyle w:val="Odsekzoznamu"/>
        <w:numPr>
          <w:ilvl w:val="0"/>
          <w:numId w:val="5"/>
        </w:numPr>
        <w:jc w:val="both"/>
        <w:rPr>
          <w:b/>
          <w:bCs/>
          <w:u w:val="single"/>
        </w:rPr>
      </w:pPr>
      <w:r w:rsidRPr="0095491E">
        <w:rPr>
          <w:iCs/>
        </w:rPr>
        <w:t>čl. 289</w:t>
      </w:r>
      <w:r w:rsidRPr="0095491E">
        <w:rPr>
          <w:iCs/>
        </w:rPr>
        <w:t xml:space="preserve"> :</w:t>
      </w:r>
      <w:r w:rsidRPr="0095491E">
        <w:rPr>
          <w:iCs/>
        </w:rPr>
        <w:t xml:space="preserve"> právne akty (čiže aj smernice) prijaté legislatívnym postupom sú legislatívnymi aktmi</w:t>
      </w:r>
    </w:p>
    <w:p w14:paraId="0D9B0E2A" w14:textId="44D84B53" w:rsidR="00A66CB9" w:rsidRPr="0095491E" w:rsidRDefault="00A66CB9" w:rsidP="0020653B">
      <w:pPr>
        <w:jc w:val="both"/>
      </w:pPr>
    </w:p>
    <w:p w14:paraId="5CC04300" w14:textId="77777777" w:rsidR="00A66CB9" w:rsidRPr="0095491E" w:rsidRDefault="00A66CB9" w:rsidP="0020653B">
      <w:pPr>
        <w:jc w:val="both"/>
      </w:pPr>
    </w:p>
    <w:p w14:paraId="57D5DF8F" w14:textId="78976882" w:rsidR="002D432E" w:rsidRPr="00075317" w:rsidRDefault="002D432E" w:rsidP="0020653B">
      <w:pPr>
        <w:snapToGrid/>
        <w:spacing w:after="160" w:line="259" w:lineRule="auto"/>
        <w:jc w:val="both"/>
        <w:rPr>
          <w:b/>
          <w:bCs/>
          <w:u w:val="single"/>
        </w:rPr>
      </w:pPr>
      <w:r w:rsidRPr="00075317">
        <w:rPr>
          <w:b/>
          <w:bCs/>
          <w:u w:val="single"/>
        </w:rPr>
        <w:t>3)</w:t>
      </w:r>
      <w:r w:rsidR="00075317" w:rsidRPr="00075317">
        <w:rPr>
          <w:b/>
          <w:bCs/>
          <w:u w:val="single"/>
        </w:rPr>
        <w:t xml:space="preserve"> Ako by mal vnútroštátny súd vyriešiť daný problém:</w:t>
      </w:r>
    </w:p>
    <w:p w14:paraId="3AAE36F9" w14:textId="405FE3C1" w:rsidR="0095491E" w:rsidRPr="0095491E" w:rsidRDefault="0020653B" w:rsidP="0020653B">
      <w:pPr>
        <w:snapToGrid/>
        <w:spacing w:after="160" w:line="259" w:lineRule="auto"/>
        <w:jc w:val="both"/>
      </w:pPr>
      <w:r w:rsidRPr="0095491E">
        <w:t>P</w:t>
      </w:r>
      <w:r w:rsidR="005C36B0" w:rsidRPr="0095491E">
        <w:t xml:space="preserve">okiaľ vnútroštátny </w:t>
      </w:r>
      <w:r w:rsidR="005C36B0" w:rsidRPr="0095491E">
        <w:rPr>
          <w:b/>
          <w:bCs/>
          <w:u w:val="single"/>
        </w:rPr>
        <w:t>súd zistí rozpor vnútroštátneho práva</w:t>
      </w:r>
      <w:r w:rsidR="005C36B0" w:rsidRPr="0095491E">
        <w:t xml:space="preserve"> s právom EÚ, má 2 možnosti:  </w:t>
      </w:r>
      <w:r w:rsidR="0095491E" w:rsidRPr="0095491E">
        <w:t xml:space="preserve"> </w:t>
      </w:r>
    </w:p>
    <w:p w14:paraId="68709C1B" w14:textId="77777777" w:rsidR="0095491E" w:rsidRPr="0095491E" w:rsidRDefault="005C36B0" w:rsidP="0095491E">
      <w:pPr>
        <w:pStyle w:val="Odsekzoznamu"/>
        <w:numPr>
          <w:ilvl w:val="0"/>
          <w:numId w:val="5"/>
        </w:numPr>
        <w:snapToGrid/>
        <w:spacing w:after="160" w:line="259" w:lineRule="auto"/>
        <w:jc w:val="both"/>
      </w:pPr>
      <w:r w:rsidRPr="0095491E">
        <w:rPr>
          <w:b/>
          <w:bCs/>
          <w:u w:val="single"/>
        </w:rPr>
        <w:t>prednostne aplikovať právo EÚ</w:t>
      </w:r>
      <w:r w:rsidRPr="0095491E">
        <w:t xml:space="preserve"> (zásada prednosti), alebo </w:t>
      </w:r>
    </w:p>
    <w:p w14:paraId="7E8CAB18" w14:textId="7CD3E7CD" w:rsidR="005C36B0" w:rsidRPr="0095491E" w:rsidRDefault="005C36B0" w:rsidP="0095491E">
      <w:pPr>
        <w:pStyle w:val="Odsekzoznamu"/>
        <w:numPr>
          <w:ilvl w:val="0"/>
          <w:numId w:val="5"/>
        </w:numPr>
        <w:snapToGrid/>
        <w:spacing w:after="160" w:line="259" w:lineRule="auto"/>
        <w:jc w:val="both"/>
      </w:pPr>
      <w:r w:rsidRPr="0095491E">
        <w:rPr>
          <w:b/>
          <w:bCs/>
          <w:u w:val="single"/>
        </w:rPr>
        <w:t>obrátiť sa na Súdny dvor EÚ</w:t>
      </w:r>
      <w:r w:rsidRPr="0095491E">
        <w:t xml:space="preserve"> s prejudiciálnou otázkou (vnútroštátny súd nesmie čakať na rozhodnutie legislatívneho alebo ústavného orgánu kontroly)</w:t>
      </w:r>
    </w:p>
    <w:p w14:paraId="1D85740C" w14:textId="77777777" w:rsidR="0020653B" w:rsidRPr="0095491E" w:rsidRDefault="0020653B" w:rsidP="0020653B">
      <w:pPr>
        <w:jc w:val="both"/>
      </w:pPr>
      <w:r w:rsidRPr="0095491E">
        <w:t xml:space="preserve">Podľa Súdneho dvora EÚ (ES) vnútroštátny súd, ktorý v rámci svojej právomoci aplikuje ustanovenia práva EÚ, je </w:t>
      </w:r>
      <w:r w:rsidRPr="0095491E">
        <w:rPr>
          <w:b/>
          <w:bCs/>
          <w:u w:val="single"/>
        </w:rPr>
        <w:t xml:space="preserve">povinný zabezpečiť plný účinok </w:t>
      </w:r>
      <w:proofErr w:type="spellStart"/>
      <w:r w:rsidRPr="0095491E">
        <w:rPr>
          <w:b/>
          <w:bCs/>
          <w:u w:val="single"/>
        </w:rPr>
        <w:t>únijných</w:t>
      </w:r>
      <w:proofErr w:type="spellEnd"/>
      <w:r w:rsidRPr="0095491E">
        <w:rPr>
          <w:b/>
          <w:bCs/>
          <w:u w:val="single"/>
        </w:rPr>
        <w:t xml:space="preserve"> noriem</w:t>
      </w:r>
      <w:r w:rsidRPr="0095491E">
        <w:t xml:space="preserve"> a z vlastnej úradnej moci má neuplatniť každé vnútroštátne ustanovenie, a to bez ohľadu na to, či bolo prijaté skôr alebo neskôr ako </w:t>
      </w:r>
      <w:proofErr w:type="spellStart"/>
      <w:r w:rsidRPr="0095491E">
        <w:t>únijný</w:t>
      </w:r>
      <w:proofErr w:type="spellEnd"/>
      <w:r w:rsidRPr="0095491E">
        <w:t xml:space="preserve"> predpis, ktoré je v rozpore s právom EÚ a to bez toho, aby musel najprv žiadať alebo čakať na jeho zrušenie legislatívnou cestou alebo iným ústavným postupom.</w:t>
      </w:r>
    </w:p>
    <w:p w14:paraId="6801862E" w14:textId="77777777" w:rsidR="0020653B" w:rsidRPr="0095491E" w:rsidRDefault="0020653B" w:rsidP="0020653B">
      <w:pPr>
        <w:snapToGrid/>
        <w:spacing w:after="160" w:line="259" w:lineRule="auto"/>
        <w:jc w:val="both"/>
      </w:pPr>
    </w:p>
    <w:p w14:paraId="7FEB3A9E" w14:textId="3C9AE240" w:rsidR="005C36B0" w:rsidRPr="00075317" w:rsidRDefault="002D432E" w:rsidP="0020653B">
      <w:pPr>
        <w:snapToGrid/>
        <w:spacing w:after="160" w:line="259" w:lineRule="auto"/>
        <w:jc w:val="both"/>
        <w:rPr>
          <w:b/>
          <w:bCs/>
          <w:u w:val="single"/>
        </w:rPr>
      </w:pPr>
      <w:r w:rsidRPr="00075317">
        <w:rPr>
          <w:b/>
          <w:bCs/>
          <w:u w:val="single"/>
        </w:rPr>
        <w:t>4)</w:t>
      </w:r>
      <w:r w:rsidR="00075317" w:rsidRPr="00075317">
        <w:rPr>
          <w:b/>
          <w:bCs/>
          <w:u w:val="single"/>
        </w:rPr>
        <w:t xml:space="preserve"> Čoho by sa pani Anna F. mohla domáhať:</w:t>
      </w:r>
    </w:p>
    <w:p w14:paraId="2F04443D" w14:textId="165C13BE" w:rsidR="005C36B0" w:rsidRPr="0095491E" w:rsidRDefault="005C36B0" w:rsidP="0020653B">
      <w:pPr>
        <w:spacing w:after="240"/>
        <w:jc w:val="both"/>
      </w:pPr>
      <w:r w:rsidRPr="0095491E">
        <w:t xml:space="preserve">Mohla by </w:t>
      </w:r>
      <w:r w:rsidRPr="0095491E">
        <w:t>poda</w:t>
      </w:r>
      <w:r w:rsidRPr="0095491E">
        <w:t>ť</w:t>
      </w:r>
      <w:r w:rsidRPr="0095491E">
        <w:t xml:space="preserve"> </w:t>
      </w:r>
      <w:r w:rsidRPr="0095491E">
        <w:rPr>
          <w:b/>
          <w:bCs/>
          <w:u w:val="single"/>
        </w:rPr>
        <w:t>žalobu</w:t>
      </w:r>
      <w:r w:rsidRPr="0095491E">
        <w:t xml:space="preserve"> na </w:t>
      </w:r>
      <w:proofErr w:type="spellStart"/>
      <w:r w:rsidRPr="0095491E">
        <w:t>Verwaltungsgericht</w:t>
      </w:r>
      <w:proofErr w:type="spellEnd"/>
      <w:r w:rsidRPr="0095491E">
        <w:t xml:space="preserve"> </w:t>
      </w:r>
      <w:proofErr w:type="spellStart"/>
      <w:r w:rsidRPr="0095491E">
        <w:t>Hannover</w:t>
      </w:r>
      <w:proofErr w:type="spellEnd"/>
      <w:r w:rsidR="00075317">
        <w:t xml:space="preserve"> na vnútroštátny súd</w:t>
      </w:r>
      <w:r w:rsidR="00A66CB9" w:rsidRPr="0095491E">
        <w:t xml:space="preserve">, a pre zásadu priameho účinku by sa mohla dovolávať </w:t>
      </w:r>
      <w:r w:rsidR="00A66CB9" w:rsidRPr="0095491E">
        <w:rPr>
          <w:b/>
          <w:bCs/>
          <w:u w:val="single"/>
        </w:rPr>
        <w:t>aplikovania úniového práva</w:t>
      </w:r>
      <w:r w:rsidR="00A66CB9" w:rsidRPr="0095491E">
        <w:t xml:space="preserve"> vnútroštátnym súdom. Ďalej by sa mohla </w:t>
      </w:r>
      <w:r w:rsidR="00A66CB9" w:rsidRPr="0095491E">
        <w:rPr>
          <w:b/>
          <w:bCs/>
          <w:u w:val="single"/>
        </w:rPr>
        <w:t>dožadovať nápravy škody</w:t>
      </w:r>
      <w:r w:rsidR="00A66CB9" w:rsidRPr="0095491E">
        <w:t xml:space="preserve"> </w:t>
      </w:r>
      <w:r w:rsidR="00075317">
        <w:t xml:space="preserve">od Nemecka </w:t>
      </w:r>
      <w:r w:rsidR="00A66CB9" w:rsidRPr="0095491E">
        <w:t>podľa zásady zodpovednosti štátu.</w:t>
      </w:r>
    </w:p>
    <w:p w14:paraId="0FF1AF92" w14:textId="008E0AB0" w:rsidR="00A66CB9" w:rsidRPr="0095491E" w:rsidRDefault="00A66CB9" w:rsidP="0020653B">
      <w:pPr>
        <w:spacing w:after="240"/>
        <w:jc w:val="both"/>
      </w:pPr>
      <w:r w:rsidRPr="0095491E">
        <w:t xml:space="preserve">Na </w:t>
      </w:r>
      <w:proofErr w:type="spellStart"/>
      <w:r w:rsidRPr="0095491E">
        <w:t>tento</w:t>
      </w:r>
      <w:proofErr w:type="spellEnd"/>
      <w:r w:rsidRPr="0095491E">
        <w:t xml:space="preserve"> </w:t>
      </w:r>
      <w:proofErr w:type="spellStart"/>
      <w:r w:rsidRPr="0095491E">
        <w:t>prípad</w:t>
      </w:r>
      <w:proofErr w:type="spellEnd"/>
      <w:r w:rsidRPr="0095491E">
        <w:t xml:space="preserve"> </w:t>
      </w:r>
      <w:proofErr w:type="spellStart"/>
      <w:r w:rsidRPr="0095491E">
        <w:t>sa</w:t>
      </w:r>
      <w:proofErr w:type="spellEnd"/>
      <w:r w:rsidRPr="0095491E">
        <w:t xml:space="preserve"> vzťahuje judikát </w:t>
      </w:r>
      <w:r w:rsidRPr="0095491E">
        <w:t>Vec C-285/98</w:t>
      </w:r>
      <w:r w:rsidRPr="0095491E">
        <w:t xml:space="preserve"> </w:t>
      </w:r>
      <w:proofErr w:type="spellStart"/>
      <w:r w:rsidRPr="0095491E">
        <w:t>Tanja</w:t>
      </w:r>
      <w:proofErr w:type="spellEnd"/>
      <w:r w:rsidRPr="0095491E">
        <w:t xml:space="preserve"> </w:t>
      </w:r>
      <w:proofErr w:type="spellStart"/>
      <w:r w:rsidRPr="0095491E">
        <w:t>Kreil</w:t>
      </w:r>
      <w:proofErr w:type="spellEnd"/>
      <w:r w:rsidRPr="0095491E">
        <w:t xml:space="preserve"> </w:t>
      </w:r>
      <w:r w:rsidRPr="0095491E">
        <w:t>proti</w:t>
      </w:r>
      <w:r w:rsidRPr="0095491E">
        <w:t xml:space="preserve"> </w:t>
      </w:r>
      <w:r w:rsidRPr="0095491E">
        <w:t>Spolkovej republike Nemecko</w:t>
      </w:r>
      <w:r w:rsidRPr="0095491E">
        <w:t xml:space="preserve"> :</w:t>
      </w:r>
    </w:p>
    <w:p w14:paraId="52A516DE" w14:textId="649A5668" w:rsidR="00A66CB9" w:rsidRPr="0095491E" w:rsidRDefault="00A66CB9" w:rsidP="0020653B">
      <w:pPr>
        <w:spacing w:after="240"/>
        <w:jc w:val="both"/>
      </w:pPr>
      <w:r w:rsidRPr="0095491E">
        <w:rPr>
          <w:b/>
          <w:bCs/>
          <w:snapToGrid w:val="0"/>
        </w:rPr>
        <w:t>Smernica Rady 76/207/EHS z 9. februára 1976 o vykonávaní zásady rovnakého zaobchádzania s mužmi a ženami, pokiaľ ide o prístup k zamestnaniu, odbornej príprave a postupu v zamestnaní a o pracovné podmienky bráni uplatňovaniu vnútroštátnych ustanovení, ako sú tie v nemeckom práve, ktoré stanovujú všeobecné vylúčenie žien z vojenských pozícií, ktoré si vyžadujú používanie zbraní a ktoré im umožňujú len prístup k zdravotníckym a vojensko-hudobným službám.</w:t>
      </w:r>
    </w:p>
    <w:p w14:paraId="66D9C4E2" w14:textId="77777777" w:rsidR="0020653B" w:rsidRPr="0095491E" w:rsidRDefault="0020653B" w:rsidP="0020653B">
      <w:pPr>
        <w:spacing w:after="240"/>
        <w:jc w:val="both"/>
        <w:rPr>
          <w:lang w:val="en-GB"/>
        </w:rPr>
      </w:pPr>
    </w:p>
    <w:p w14:paraId="60464AA9" w14:textId="0F58F4FE" w:rsidR="000B0F98" w:rsidRPr="0095491E" w:rsidRDefault="000B0F98" w:rsidP="00C627AB">
      <w:pPr>
        <w:snapToGrid/>
        <w:spacing w:after="160" w:line="259" w:lineRule="auto"/>
        <w:jc w:val="both"/>
        <w:rPr>
          <w:rFonts w:eastAsiaTheme="majorEastAsia"/>
          <w:color w:val="1F3763" w:themeColor="accent1" w:themeShade="7F"/>
        </w:rPr>
      </w:pPr>
    </w:p>
    <w:sectPr w:rsidR="000B0F98" w:rsidRPr="00954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E54B2"/>
    <w:multiLevelType w:val="hybridMultilevel"/>
    <w:tmpl w:val="6EB4785C"/>
    <w:lvl w:ilvl="0" w:tplc="0D828204">
      <w:start w:val="1"/>
      <w:numFmt w:val="decimal"/>
      <w:lvlText w:val="%1"/>
      <w:lvlJc w:val="left"/>
      <w:pPr>
        <w:tabs>
          <w:tab w:val="num" w:pos="907"/>
        </w:tabs>
        <w:ind w:left="907" w:hanging="51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4B3454"/>
    <w:multiLevelType w:val="hybridMultilevel"/>
    <w:tmpl w:val="6EB4785C"/>
    <w:lvl w:ilvl="0" w:tplc="0D828204">
      <w:start w:val="1"/>
      <w:numFmt w:val="decimal"/>
      <w:lvlText w:val="%1"/>
      <w:lvlJc w:val="left"/>
      <w:pPr>
        <w:tabs>
          <w:tab w:val="num" w:pos="907"/>
        </w:tabs>
        <w:ind w:left="907" w:hanging="51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7D1280"/>
    <w:multiLevelType w:val="hybridMultilevel"/>
    <w:tmpl w:val="4746D65C"/>
    <w:lvl w:ilvl="0" w:tplc="3B00C3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85350"/>
    <w:multiLevelType w:val="hybridMultilevel"/>
    <w:tmpl w:val="23BE8F90"/>
    <w:lvl w:ilvl="0" w:tplc="B6E4C04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C1650"/>
    <w:multiLevelType w:val="hybridMultilevel"/>
    <w:tmpl w:val="296094B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9"/>
    <w:rsid w:val="00075317"/>
    <w:rsid w:val="000B0F98"/>
    <w:rsid w:val="0020653B"/>
    <w:rsid w:val="002D432E"/>
    <w:rsid w:val="00312719"/>
    <w:rsid w:val="005C36B0"/>
    <w:rsid w:val="005E74F9"/>
    <w:rsid w:val="0095491E"/>
    <w:rsid w:val="00A66CB9"/>
    <w:rsid w:val="00AA5A63"/>
    <w:rsid w:val="00B57025"/>
    <w:rsid w:val="00C627AB"/>
    <w:rsid w:val="00C7001E"/>
    <w:rsid w:val="00C8688C"/>
    <w:rsid w:val="00D4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4DF6"/>
  <w15:chartTrackingRefBased/>
  <w15:docId w15:val="{4FBBFE6D-E547-46A2-9796-ED20D481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12719"/>
    <w:pPr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semiHidden/>
    <w:unhideWhenUsed/>
    <w:qFormat/>
    <w:rsid w:val="00C700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arkazkladnhotextu2">
    <w:name w:val="Body Text Indent 2"/>
    <w:basedOn w:val="Normlny"/>
    <w:link w:val="Zarkazkladnhotextu2Char"/>
    <w:semiHidden/>
    <w:unhideWhenUsed/>
    <w:rsid w:val="00312719"/>
    <w:pPr>
      <w:spacing w:after="240"/>
      <w:ind w:left="907"/>
      <w:jc w:val="both"/>
    </w:pPr>
    <w:rPr>
      <w:lang w:val="en-GB"/>
    </w:rPr>
  </w:style>
  <w:style w:type="character" w:customStyle="1" w:styleId="Zarkazkladnhotextu2Char">
    <w:name w:val="Zarážka základného textu 2 Char"/>
    <w:basedOn w:val="Predvolenpsmoodseku"/>
    <w:link w:val="Zarkazkladnhotextu2"/>
    <w:semiHidden/>
    <w:rsid w:val="00312719"/>
    <w:rPr>
      <w:rFonts w:ascii="Times New Roman" w:eastAsia="Times New Roman" w:hAnsi="Times New Roman" w:cs="Times New Roman"/>
      <w:sz w:val="24"/>
      <w:szCs w:val="24"/>
      <w:lang w:val="en-GB" w:eastAsia="sk-SK"/>
    </w:rPr>
  </w:style>
  <w:style w:type="paragraph" w:styleId="Nzov">
    <w:name w:val="Title"/>
    <w:basedOn w:val="Normlny"/>
    <w:link w:val="NzovChar"/>
    <w:qFormat/>
    <w:rsid w:val="00A66CB9"/>
    <w:pPr>
      <w:jc w:val="center"/>
    </w:pPr>
    <w:rPr>
      <w:b/>
      <w:bCs/>
      <w:lang w:val="en-GB"/>
    </w:rPr>
  </w:style>
  <w:style w:type="character" w:customStyle="1" w:styleId="NzovChar">
    <w:name w:val="Názov Char"/>
    <w:basedOn w:val="Predvolenpsmoodseku"/>
    <w:link w:val="Nzov"/>
    <w:rsid w:val="00A66CB9"/>
    <w:rPr>
      <w:rFonts w:ascii="Times New Roman" w:eastAsia="Times New Roman" w:hAnsi="Times New Roman" w:cs="Times New Roman"/>
      <w:b/>
      <w:bCs/>
      <w:sz w:val="24"/>
      <w:szCs w:val="24"/>
      <w:lang w:val="en-GB" w:eastAsia="sk-SK"/>
    </w:rPr>
  </w:style>
  <w:style w:type="paragraph" w:styleId="Odsekzoznamu">
    <w:name w:val="List Paragraph"/>
    <w:basedOn w:val="Normlny"/>
    <w:uiPriority w:val="34"/>
    <w:qFormat/>
    <w:rsid w:val="00954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2</cp:revision>
  <dcterms:created xsi:type="dcterms:W3CDTF">2020-12-03T13:31:00Z</dcterms:created>
  <dcterms:modified xsi:type="dcterms:W3CDTF">2020-12-03T22:36:00Z</dcterms:modified>
</cp:coreProperties>
</file>