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5C6C5" w14:textId="41155F7F" w:rsidR="000B0F98" w:rsidRPr="000D130E" w:rsidRDefault="000D130E" w:rsidP="000D130E">
      <w:pPr>
        <w:pStyle w:val="Odsekzoznamu"/>
        <w:numPr>
          <w:ilvl w:val="0"/>
          <w:numId w:val="3"/>
        </w:numPr>
        <w:jc w:val="both"/>
        <w:rPr>
          <w:b/>
          <w:bCs/>
          <w:u w:val="single"/>
        </w:rPr>
      </w:pPr>
      <w:r w:rsidRPr="000D130E">
        <w:rPr>
          <w:b/>
          <w:bCs/>
          <w:u w:val="single"/>
        </w:rPr>
        <w:t>Vo všeobecnosti, ako by sa riešil konflikt rakúskeho práva a práva EU</w:t>
      </w:r>
    </w:p>
    <w:p w14:paraId="67E683B0" w14:textId="77777777" w:rsidR="000D130E" w:rsidRPr="0095491E" w:rsidRDefault="000D130E" w:rsidP="0023042A">
      <w:pPr>
        <w:ind w:firstLine="360"/>
        <w:jc w:val="both"/>
      </w:pPr>
      <w:r w:rsidRPr="00075317">
        <w:t>V </w:t>
      </w:r>
      <w:r w:rsidRPr="0095491E">
        <w:rPr>
          <w:b/>
          <w:bCs/>
          <w:u w:val="single"/>
        </w:rPr>
        <w:t>prípade rozporu</w:t>
      </w:r>
      <w:r w:rsidRPr="0095491E">
        <w:t xml:space="preserve"> vnútroštátneho práva a práv</w:t>
      </w:r>
      <w:r>
        <w:t>a</w:t>
      </w:r>
      <w:r w:rsidRPr="0095491E">
        <w:t xml:space="preserve"> EU platí:</w:t>
      </w:r>
    </w:p>
    <w:p w14:paraId="4BDEC518" w14:textId="22A6C1EF" w:rsidR="000D130E" w:rsidRPr="000D130E" w:rsidRDefault="000D130E" w:rsidP="000D130E">
      <w:pPr>
        <w:pStyle w:val="Odsekzoznamu"/>
        <w:numPr>
          <w:ilvl w:val="0"/>
          <w:numId w:val="4"/>
        </w:numPr>
        <w:snapToGrid w:val="0"/>
        <w:spacing w:after="0" w:line="240" w:lineRule="auto"/>
        <w:jc w:val="both"/>
        <w:rPr>
          <w:b/>
          <w:bCs/>
          <w:u w:val="single"/>
        </w:rPr>
      </w:pPr>
      <w:r w:rsidRPr="0095491E">
        <w:rPr>
          <w:b/>
          <w:bCs/>
          <w:u w:val="single"/>
        </w:rPr>
        <w:t>Absolútna prednosť</w:t>
      </w:r>
      <w:r w:rsidRPr="0095491E">
        <w:rPr>
          <w:b/>
          <w:bCs/>
        </w:rPr>
        <w:t xml:space="preserve"> </w:t>
      </w:r>
      <w:r w:rsidRPr="0095491E">
        <w:t>práva Únie</w:t>
      </w:r>
      <w:r w:rsidRPr="0095491E">
        <w:rPr>
          <w:b/>
          <w:bCs/>
        </w:rPr>
        <w:t xml:space="preserve"> </w:t>
      </w:r>
      <w:r w:rsidRPr="0095491E">
        <w:t xml:space="preserve">pred kolidujúcim vnútroštátnym právom. </w:t>
      </w:r>
    </w:p>
    <w:p w14:paraId="6347CECE" w14:textId="5CBD4846" w:rsidR="000D130E" w:rsidRPr="0095491E" w:rsidRDefault="000D130E" w:rsidP="000D130E">
      <w:pPr>
        <w:pStyle w:val="Odsekzoznamu"/>
        <w:numPr>
          <w:ilvl w:val="0"/>
          <w:numId w:val="4"/>
        </w:numPr>
        <w:jc w:val="both"/>
      </w:pPr>
      <w:r w:rsidRPr="0095491E">
        <w:rPr>
          <w:b/>
          <w:bCs/>
          <w:u w:val="single"/>
        </w:rPr>
        <w:t>Povinnosť aplikácie práva EÚ</w:t>
      </w:r>
      <w:r w:rsidRPr="0095491E">
        <w:t xml:space="preserve"> — článok 4 ods. 3 Zmluvy o EÚ </w:t>
      </w:r>
    </w:p>
    <w:p w14:paraId="203F6F7A" w14:textId="2D165CF2" w:rsidR="000D130E" w:rsidRPr="0095491E" w:rsidRDefault="000D130E" w:rsidP="000D130E">
      <w:pPr>
        <w:pStyle w:val="Odsekzoznamu"/>
        <w:numPr>
          <w:ilvl w:val="0"/>
          <w:numId w:val="4"/>
        </w:numPr>
        <w:jc w:val="both"/>
      </w:pPr>
      <w:r w:rsidRPr="0095491E">
        <w:t xml:space="preserve">Povinnosť súdu </w:t>
      </w:r>
      <w:r w:rsidRPr="0095491E">
        <w:rPr>
          <w:b/>
          <w:bCs/>
          <w:u w:val="single"/>
        </w:rPr>
        <w:t>neaplikovať vnútroštátne ustanovenie nezlučiteľné s právom Únie</w:t>
      </w:r>
      <w:r w:rsidRPr="0095491E">
        <w:t xml:space="preserve"> </w:t>
      </w:r>
      <w:r>
        <w:t>(</w:t>
      </w:r>
      <w:r w:rsidRPr="0095491E">
        <w:t>Luigi, C-357/06, Engelbrecht, C-262/97, Simmenthal, 106/77</w:t>
      </w:r>
      <w:r>
        <w:t xml:space="preserve"> )</w:t>
      </w:r>
    </w:p>
    <w:p w14:paraId="0B0764E4" w14:textId="1BC32A38" w:rsidR="000D130E" w:rsidRPr="0095491E" w:rsidRDefault="000D130E" w:rsidP="000D130E">
      <w:pPr>
        <w:pStyle w:val="Odsekzoznamu"/>
        <w:numPr>
          <w:ilvl w:val="0"/>
          <w:numId w:val="4"/>
        </w:numPr>
        <w:jc w:val="both"/>
      </w:pPr>
      <w:r w:rsidRPr="0095491E">
        <w:t xml:space="preserve">Vnútroštátny súd musí </w:t>
      </w:r>
      <w:r w:rsidRPr="0095491E">
        <w:rPr>
          <w:b/>
          <w:bCs/>
          <w:u w:val="single"/>
        </w:rPr>
        <w:t>rešpektovať zásadu prednosti úniového práva</w:t>
      </w:r>
      <w:r w:rsidRPr="0095491E">
        <w:t xml:space="preserve"> a nemôže sa zbaviť povinnosti uprednostniť úniovú normu pred vnútroštátnou normou odvolávajúc sa na skutočnosť, že o tom môže rozhodovať jedine ústavný súd. </w:t>
      </w:r>
    </w:p>
    <w:p w14:paraId="2A024885" w14:textId="70C5BAF2" w:rsidR="000D130E" w:rsidRPr="0095491E" w:rsidRDefault="000D130E" w:rsidP="000D130E">
      <w:pPr>
        <w:pStyle w:val="Odsekzoznamu"/>
        <w:numPr>
          <w:ilvl w:val="0"/>
          <w:numId w:val="4"/>
        </w:numPr>
        <w:jc w:val="both"/>
      </w:pPr>
      <w:r w:rsidRPr="0095491E">
        <w:t xml:space="preserve">Súd je povinný </w:t>
      </w:r>
      <w:r w:rsidRPr="0095491E">
        <w:rPr>
          <w:b/>
          <w:bCs/>
          <w:u w:val="single"/>
        </w:rPr>
        <w:t>bezodkladne neaplikovať nezlučiteľné vnútroštátne ustanovenie</w:t>
      </w:r>
      <w:r w:rsidRPr="0095491E">
        <w:t xml:space="preserve"> aj bez toho, aby požiadal alebo vyčkal na jeho predchádzajúcu legislatívnu úpravu, ktorou by sa malo uviesť do súladu s úniovým právom (napr. Jonkman</w:t>
      </w:r>
      <w:r>
        <w:t>)</w:t>
      </w:r>
    </w:p>
    <w:p w14:paraId="1D4E475B" w14:textId="119E5E8C" w:rsidR="000D130E" w:rsidRDefault="000D130E" w:rsidP="000D130E">
      <w:pPr>
        <w:pStyle w:val="Odsekzoznamu"/>
        <w:numPr>
          <w:ilvl w:val="0"/>
          <w:numId w:val="4"/>
        </w:numPr>
        <w:jc w:val="both"/>
      </w:pPr>
      <w:r w:rsidRPr="0095491E">
        <w:t xml:space="preserve">Zásada </w:t>
      </w:r>
      <w:r w:rsidRPr="0095491E">
        <w:rPr>
          <w:b/>
          <w:bCs/>
          <w:u w:val="single"/>
        </w:rPr>
        <w:t>proporcionality a subsidiarity</w:t>
      </w:r>
      <w:r w:rsidRPr="0095491E">
        <w:t xml:space="preserve"> podľa čl. 5 ZFEU </w:t>
      </w:r>
    </w:p>
    <w:p w14:paraId="70FC7405" w14:textId="7E61BFA4" w:rsidR="000D130E" w:rsidRPr="0095491E" w:rsidRDefault="000D130E" w:rsidP="000D130E">
      <w:pPr>
        <w:pStyle w:val="Odsekzoznamu"/>
        <w:numPr>
          <w:ilvl w:val="0"/>
          <w:numId w:val="4"/>
        </w:numPr>
        <w:jc w:val="both"/>
        <w:rPr>
          <w:b/>
          <w:bCs/>
          <w:u w:val="single"/>
        </w:rPr>
      </w:pPr>
      <w:r w:rsidRPr="0095491E">
        <w:t xml:space="preserve">V prípade rozporu s právom EU </w:t>
      </w:r>
      <w:r w:rsidRPr="0095491E">
        <w:rPr>
          <w:b/>
          <w:bCs/>
          <w:u w:val="single"/>
        </w:rPr>
        <w:t>nie je relevantné</w:t>
      </w:r>
      <w:r w:rsidRPr="0095491E">
        <w:t>, akú právnu silu má predpis vnútroštátneho práva</w:t>
      </w:r>
      <w:r>
        <w:t xml:space="preserve"> </w:t>
      </w:r>
      <w:r w:rsidRPr="0095491E">
        <w:rPr>
          <w:bCs/>
          <w:i/>
          <w:iCs/>
        </w:rPr>
        <w:t xml:space="preserve"> </w:t>
      </w:r>
      <w:r>
        <w:rPr>
          <w:bCs/>
          <w:i/>
          <w:iCs/>
        </w:rPr>
        <w:t>(</w:t>
      </w:r>
      <w:r w:rsidRPr="0095491E">
        <w:rPr>
          <w:bCs/>
          <w:i/>
          <w:iCs/>
        </w:rPr>
        <w:t>Gend and Loos</w:t>
      </w:r>
      <w:r>
        <w:rPr>
          <w:bCs/>
          <w:iCs/>
        </w:rPr>
        <w:t xml:space="preserve">, </w:t>
      </w:r>
      <w:r w:rsidRPr="0095491E">
        <w:rPr>
          <w:bCs/>
          <w:i/>
          <w:iCs/>
        </w:rPr>
        <w:t>Costa v. E.N.E.L.</w:t>
      </w:r>
      <w:r>
        <w:rPr>
          <w:bCs/>
          <w:i/>
          <w:iCs/>
        </w:rPr>
        <w:t>)</w:t>
      </w:r>
      <w:r w:rsidRPr="0095491E">
        <w:rPr>
          <w:bCs/>
          <w:iCs/>
        </w:rPr>
        <w:t xml:space="preserve">,  </w:t>
      </w:r>
      <w:r w:rsidRPr="0095491E">
        <w:rPr>
          <w:b/>
          <w:bCs/>
          <w:u w:val="single"/>
        </w:rPr>
        <w:t>status kolidujúceho vnútroštátneho práva nie je pre prednostnú aplikáciu práva Únie podstatný.</w:t>
      </w:r>
    </w:p>
    <w:p w14:paraId="5801C342" w14:textId="663CC4C4" w:rsidR="000D130E" w:rsidRDefault="000D130E"/>
    <w:p w14:paraId="62F4FC92" w14:textId="6E128E6E" w:rsidR="000D130E" w:rsidRPr="009A328B" w:rsidRDefault="000D130E" w:rsidP="0023042A">
      <w:pPr>
        <w:pStyle w:val="Odsekzoznamu"/>
        <w:numPr>
          <w:ilvl w:val="0"/>
          <w:numId w:val="3"/>
        </w:numPr>
        <w:jc w:val="both"/>
        <w:rPr>
          <w:b/>
          <w:bCs/>
          <w:u w:val="single"/>
        </w:rPr>
      </w:pPr>
      <w:r w:rsidRPr="009A328B">
        <w:rPr>
          <w:b/>
          <w:bCs/>
          <w:u w:val="single"/>
        </w:rPr>
        <w:t>Možno v danom prípade uplatniť nejakú výnimku / výnimočné ustanovenie, ktoré by umožnilo uplatniť rakúske právo?</w:t>
      </w:r>
    </w:p>
    <w:p w14:paraId="10025418" w14:textId="62920152" w:rsidR="009A328B" w:rsidRDefault="009A328B" w:rsidP="0023042A">
      <w:pPr>
        <w:snapToGrid w:val="0"/>
        <w:spacing w:after="0" w:line="240" w:lineRule="auto"/>
        <w:ind w:left="708"/>
        <w:jc w:val="both"/>
      </w:pPr>
      <w:r w:rsidRPr="0095491E">
        <w:t xml:space="preserve">Podľa rozsudku Súdneho dvora vo veci 11/70 </w:t>
      </w:r>
      <w:r w:rsidRPr="009A328B">
        <w:rPr>
          <w:i/>
        </w:rPr>
        <w:t>Internationale Handelsgesellschaft</w:t>
      </w:r>
      <w:r w:rsidRPr="0095491E">
        <w:t xml:space="preserve"> </w:t>
      </w:r>
      <w:r w:rsidRPr="009A328B">
        <w:rPr>
          <w:b/>
          <w:bCs/>
          <w:u w:val="single"/>
        </w:rPr>
        <w:t>ani vnútroštátne právo ústavného charakteru nemôže zabrániť prednostnému uplatneniu práva EÚ</w:t>
      </w:r>
      <w:r w:rsidRPr="0095491E">
        <w:t xml:space="preserve"> </w:t>
      </w:r>
      <w:r>
        <w:t xml:space="preserve">- </w:t>
      </w:r>
      <w:r w:rsidRPr="0095491E">
        <w:t xml:space="preserve">Súdny dvor priznal právu Únie </w:t>
      </w:r>
      <w:r w:rsidRPr="009A328B">
        <w:rPr>
          <w:b/>
          <w:bCs/>
          <w:u w:val="single"/>
        </w:rPr>
        <w:t>absolútnu prednosť</w:t>
      </w:r>
      <w:r w:rsidRPr="009A328B">
        <w:rPr>
          <w:b/>
          <w:bCs/>
        </w:rPr>
        <w:t xml:space="preserve"> </w:t>
      </w:r>
      <w:r w:rsidRPr="0095491E">
        <w:t xml:space="preserve">pred kolidujúcim vnútroštátnym právom. </w:t>
      </w:r>
    </w:p>
    <w:p w14:paraId="41479980" w14:textId="77777777" w:rsidR="009A328B" w:rsidRDefault="009A328B" w:rsidP="0023042A">
      <w:pPr>
        <w:snapToGrid w:val="0"/>
        <w:spacing w:after="0" w:line="240" w:lineRule="auto"/>
        <w:ind w:left="708"/>
        <w:jc w:val="both"/>
      </w:pPr>
    </w:p>
    <w:p w14:paraId="0D494865" w14:textId="415335BB" w:rsidR="009A328B" w:rsidRDefault="009A328B" w:rsidP="0023042A">
      <w:pPr>
        <w:snapToGrid w:val="0"/>
        <w:spacing w:after="0" w:line="240" w:lineRule="auto"/>
        <w:ind w:left="708"/>
        <w:jc w:val="both"/>
        <w:rPr>
          <w:b/>
          <w:bCs/>
          <w:u w:val="single"/>
        </w:rPr>
      </w:pPr>
      <w:r w:rsidRPr="009A328B">
        <w:t xml:space="preserve">V rámci sporu vo veci samej zákon o zrušení šľachtictva </w:t>
      </w:r>
      <w:r w:rsidRPr="009A328B">
        <w:rPr>
          <w:b/>
          <w:bCs/>
          <w:u w:val="single"/>
        </w:rPr>
        <w:t>vykonáva všeobecnejšiu zásadu rovnosti</w:t>
      </w:r>
      <w:r w:rsidRPr="009A328B">
        <w:t xml:space="preserve"> všetkých rakúskych občanov pred zákonom.</w:t>
      </w:r>
      <w:r>
        <w:t xml:space="preserve"> </w:t>
      </w:r>
      <w:r w:rsidRPr="009A328B">
        <w:t xml:space="preserve">Uvedená zásada je zakotvená v článku 20 Charty základných práv. Je teda nepochybné, že cieľ dodržiavania zásady rovnosti je </w:t>
      </w:r>
      <w:r w:rsidRPr="009A328B">
        <w:rPr>
          <w:b/>
          <w:bCs/>
          <w:u w:val="single"/>
        </w:rPr>
        <w:t>zlučiteľný s právom Únie.</w:t>
      </w:r>
    </w:p>
    <w:p w14:paraId="30412AE4" w14:textId="4F172C24" w:rsidR="009A328B" w:rsidRDefault="009A328B" w:rsidP="0023042A">
      <w:pPr>
        <w:snapToGrid w:val="0"/>
        <w:spacing w:after="0" w:line="240" w:lineRule="auto"/>
        <w:ind w:left="708"/>
        <w:jc w:val="both"/>
        <w:rPr>
          <w:b/>
          <w:bCs/>
          <w:u w:val="single"/>
        </w:rPr>
      </w:pPr>
    </w:p>
    <w:p w14:paraId="47054D93" w14:textId="074A9DCF" w:rsidR="009A328B" w:rsidRPr="009A328B" w:rsidRDefault="009A328B" w:rsidP="0023042A">
      <w:pPr>
        <w:snapToGrid w:val="0"/>
        <w:spacing w:after="0" w:line="240" w:lineRule="auto"/>
        <w:ind w:left="708"/>
        <w:jc w:val="both"/>
        <w:rPr>
          <w:b/>
          <w:bCs/>
          <w:u w:val="single"/>
        </w:rPr>
      </w:pPr>
      <w:r w:rsidRPr="009A328B">
        <w:rPr>
          <w:b/>
          <w:bCs/>
          <w:u w:val="single"/>
        </w:rPr>
        <w:t xml:space="preserve">Uplatnenie rakúskeho práva </w:t>
      </w:r>
      <w:r w:rsidR="0023042A">
        <w:rPr>
          <w:b/>
          <w:bCs/>
          <w:u w:val="single"/>
        </w:rPr>
        <w:t xml:space="preserve">a Zákona a o zrušení šlachtictva, </w:t>
      </w:r>
      <w:r w:rsidRPr="009A328B">
        <w:rPr>
          <w:b/>
          <w:bCs/>
          <w:u w:val="single"/>
        </w:rPr>
        <w:t>v tomto prípade neodporuje prednosti práva EU</w:t>
      </w:r>
    </w:p>
    <w:p w14:paraId="34EEE75E" w14:textId="77777777" w:rsidR="000D130E" w:rsidRDefault="000D130E" w:rsidP="0023042A">
      <w:pPr>
        <w:jc w:val="both"/>
      </w:pPr>
    </w:p>
    <w:p w14:paraId="392E810F" w14:textId="77777777" w:rsidR="000D130E" w:rsidRDefault="000D130E" w:rsidP="000D130E">
      <w:pPr>
        <w:pStyle w:val="Odsekzoznamu"/>
        <w:jc w:val="both"/>
      </w:pPr>
    </w:p>
    <w:p w14:paraId="66087DCE" w14:textId="4819F564" w:rsidR="000D130E" w:rsidRPr="0023042A" w:rsidRDefault="000D130E" w:rsidP="000D130E">
      <w:pPr>
        <w:pStyle w:val="Odsekzoznamu"/>
        <w:numPr>
          <w:ilvl w:val="0"/>
          <w:numId w:val="3"/>
        </w:numPr>
        <w:jc w:val="both"/>
        <w:rPr>
          <w:b/>
          <w:bCs/>
          <w:u w:val="single"/>
        </w:rPr>
      </w:pPr>
      <w:r w:rsidRPr="0023042A">
        <w:rPr>
          <w:b/>
          <w:bCs/>
          <w:u w:val="single"/>
        </w:rPr>
        <w:t>Môže sa Johnatan domáhať ochrany pred diskrimináciou?</w:t>
      </w:r>
    </w:p>
    <w:p w14:paraId="24F4984A" w14:textId="77777777" w:rsidR="000D130E" w:rsidRDefault="000D130E" w:rsidP="000D130E">
      <w:pPr>
        <w:pStyle w:val="Odsekzoznamu"/>
      </w:pPr>
    </w:p>
    <w:p w14:paraId="3AE51F31" w14:textId="69196F94" w:rsidR="0023042A" w:rsidRDefault="0023042A" w:rsidP="0023042A">
      <w:pPr>
        <w:snapToGrid w:val="0"/>
        <w:spacing w:after="0" w:line="240" w:lineRule="auto"/>
        <w:ind w:left="708"/>
        <w:jc w:val="both"/>
      </w:pPr>
      <w:r w:rsidRPr="0023042A">
        <w:rPr>
          <w:b/>
          <w:bCs/>
          <w:u w:val="single"/>
        </w:rPr>
        <w:t>Nie</w:t>
      </w:r>
      <w:r>
        <w:t xml:space="preserve"> - v</w:t>
      </w:r>
      <w:r w:rsidRPr="0023042A">
        <w:t> predmetnej veci</w:t>
      </w:r>
      <w:r w:rsidRPr="0023042A">
        <w:rPr>
          <w:b/>
          <w:bCs/>
          <w:u w:val="single"/>
        </w:rPr>
        <w:t xml:space="preserve"> </w:t>
      </w:r>
      <w:r w:rsidRPr="0023042A">
        <w:rPr>
          <w:b/>
          <w:bCs/>
          <w:u w:val="single"/>
        </w:rPr>
        <w:t>nie je</w:t>
      </w:r>
      <w:r w:rsidRPr="0023042A">
        <w:rPr>
          <w:b/>
          <w:bCs/>
          <w:u w:val="single"/>
        </w:rPr>
        <w:t xml:space="preserve"> neprimerané</w:t>
      </w:r>
      <w:r w:rsidRPr="0023042A">
        <w:t>, ak sa členský štát usiluje o dosiahnutie cieľa ochrany zásady rovnosti tak, že svojim štátnym príslušníkom zakáže akékoľvek získavanie, držanie alebo používanie šľachtických titulov alebo šľachtických prvkov</w:t>
      </w:r>
      <w:r>
        <w:t>.</w:t>
      </w:r>
    </w:p>
    <w:p w14:paraId="41F04DCA" w14:textId="77777777" w:rsidR="0023042A" w:rsidRDefault="0023042A" w:rsidP="0023042A">
      <w:pPr>
        <w:snapToGrid w:val="0"/>
        <w:spacing w:after="0" w:line="240" w:lineRule="auto"/>
        <w:ind w:left="708"/>
        <w:jc w:val="both"/>
      </w:pPr>
    </w:p>
    <w:p w14:paraId="43BF2952" w14:textId="0371DB22" w:rsidR="0023042A" w:rsidRPr="0023042A" w:rsidRDefault="0023042A" w:rsidP="0023042A">
      <w:pPr>
        <w:snapToGrid w:val="0"/>
        <w:spacing w:after="0" w:line="240" w:lineRule="auto"/>
        <w:ind w:left="708"/>
        <w:jc w:val="both"/>
      </w:pPr>
      <w:r w:rsidRPr="0023042A">
        <w:t xml:space="preserve">Opatrenia obmedzujúce základnú slobodu môžu byť </w:t>
      </w:r>
      <w:r w:rsidRPr="0023042A">
        <w:rPr>
          <w:b/>
          <w:bCs/>
          <w:u w:val="single"/>
        </w:rPr>
        <w:t>odôvodnené dôvodmi verejného poriadku</w:t>
      </w:r>
      <w:r w:rsidRPr="0023042A">
        <w:t xml:space="preserve"> lak sú nevyhnutné na ochranu záujmov, ktoré majú zaistiť, v rozsahu, v akom tieto ciele nemôžu byť dosiahnuté menej obmedzujúcimi opatreniami (</w:t>
      </w:r>
      <w:r>
        <w:t>rozsudky</w:t>
      </w:r>
      <w:r w:rsidRPr="0023042A">
        <w:t xml:space="preserve"> Omega, Jipa).</w:t>
      </w:r>
      <w:r>
        <w:t xml:space="preserve"> </w:t>
      </w:r>
      <w:r w:rsidRPr="0023042A">
        <w:t xml:space="preserve">Súdny dvor v tejto súvislosti spresnil, že </w:t>
      </w:r>
      <w:r w:rsidRPr="0023042A">
        <w:rPr>
          <w:b/>
          <w:bCs/>
          <w:u w:val="single"/>
        </w:rPr>
        <w:t>nie je nevyhnutné, aby sa obmedzujúce opatrenie orgánov jedného členského štátu zhodovalo s poňatím zdieľaným všetkými členskými štátmi</w:t>
      </w:r>
      <w:r w:rsidRPr="0023042A">
        <w:t xml:space="preserve">, čo sa týka spôsobu ochrany dotknutého základného práva alebo dotknutého legitímneho záujmu a že, naopak, nevyhnutnosť a primeranosť prijatých ustanovení nie sú </w:t>
      </w:r>
      <w:r w:rsidRPr="0023042A">
        <w:lastRenderedPageBreak/>
        <w:t>vylúčené len z toho dôvodu, že jeden členský štát zvolil odlišný systém ochrany ako iný členský štát</w:t>
      </w:r>
      <w:r>
        <w:t>. P</w:t>
      </w:r>
      <w:r w:rsidRPr="0023042A">
        <w:t xml:space="preserve">odľa článku 4 ods. 2 ZEÚ, Únia </w:t>
      </w:r>
      <w:r w:rsidRPr="0023042A">
        <w:rPr>
          <w:b/>
          <w:bCs/>
          <w:u w:val="single"/>
        </w:rPr>
        <w:t>rešpektuje národnú identitu jej členských štátov</w:t>
      </w:r>
      <w:r w:rsidRPr="0023042A">
        <w:t>, ktorej súčasťou je tiež republikánske štátne zriadenie.</w:t>
      </w:r>
    </w:p>
    <w:p w14:paraId="26E7C81C" w14:textId="3BE1CFA4" w:rsidR="000D130E" w:rsidRDefault="000D130E" w:rsidP="000D130E">
      <w:pPr>
        <w:pStyle w:val="Odsekzoznamu"/>
        <w:jc w:val="both"/>
      </w:pPr>
    </w:p>
    <w:p w14:paraId="60E79DDE" w14:textId="77777777" w:rsidR="0023042A" w:rsidRDefault="0023042A" w:rsidP="000D130E">
      <w:pPr>
        <w:pStyle w:val="Odsekzoznamu"/>
        <w:jc w:val="both"/>
      </w:pPr>
    </w:p>
    <w:p w14:paraId="72809799" w14:textId="44557044" w:rsidR="000D130E" w:rsidRDefault="000D130E" w:rsidP="000D130E">
      <w:pPr>
        <w:pStyle w:val="Odsekzoznamu"/>
        <w:numPr>
          <w:ilvl w:val="0"/>
          <w:numId w:val="3"/>
        </w:numPr>
        <w:jc w:val="both"/>
        <w:rPr>
          <w:b/>
          <w:bCs/>
          <w:u w:val="single"/>
        </w:rPr>
      </w:pPr>
      <w:r w:rsidRPr="00A26BAD">
        <w:rPr>
          <w:b/>
          <w:bCs/>
          <w:u w:val="single"/>
        </w:rPr>
        <w:t>Bola by situácia iná, keby bol občanom SR / UK?</w:t>
      </w:r>
    </w:p>
    <w:p w14:paraId="1CC0AB1C" w14:textId="52F14B33" w:rsidR="00EF04DE" w:rsidRPr="00EF04DE" w:rsidRDefault="00EF04DE" w:rsidP="00DD4C7B">
      <w:pPr>
        <w:ind w:left="708"/>
        <w:jc w:val="both"/>
      </w:pPr>
      <w:r w:rsidRPr="00EF04DE">
        <w:t xml:space="preserve">Bola, preto že by sa neuplatnil </w:t>
      </w:r>
      <w:r w:rsidR="00DD4C7B" w:rsidRPr="00EF04DE">
        <w:t>ústavný</w:t>
      </w:r>
      <w:r w:rsidRPr="00EF04DE">
        <w:t xml:space="preserve"> zákon o zrušení šlachtictva</w:t>
      </w:r>
      <w:r w:rsidR="00DD4C7B">
        <w:t xml:space="preserve"> a teda by neexistovala prekážka pre ponechanie si titulu.</w:t>
      </w:r>
    </w:p>
    <w:p w14:paraId="5A49DB45" w14:textId="77777777" w:rsidR="000D130E" w:rsidRDefault="000D130E" w:rsidP="000D130E">
      <w:pPr>
        <w:pStyle w:val="Odsekzoznamu"/>
        <w:jc w:val="both"/>
      </w:pPr>
    </w:p>
    <w:p w14:paraId="5503151F" w14:textId="331E062F" w:rsidR="000D130E" w:rsidRPr="0023042A" w:rsidRDefault="000D130E" w:rsidP="000D130E">
      <w:pPr>
        <w:pStyle w:val="Odsekzoznamu"/>
        <w:numPr>
          <w:ilvl w:val="0"/>
          <w:numId w:val="3"/>
        </w:numPr>
        <w:jc w:val="both"/>
        <w:rPr>
          <w:b/>
          <w:bCs/>
          <w:u w:val="single"/>
        </w:rPr>
      </w:pPr>
      <w:r w:rsidRPr="0023042A">
        <w:rPr>
          <w:b/>
          <w:bCs/>
          <w:u w:val="single"/>
        </w:rPr>
        <w:t>Ako by ste rozhodli vo veci samej?</w:t>
      </w:r>
    </w:p>
    <w:p w14:paraId="59793231" w14:textId="77777777" w:rsidR="0023042A" w:rsidRDefault="0023042A" w:rsidP="0023042A">
      <w:pPr>
        <w:snapToGrid w:val="0"/>
        <w:spacing w:after="0" w:line="240" w:lineRule="auto"/>
        <w:jc w:val="both"/>
      </w:pPr>
    </w:p>
    <w:p w14:paraId="3C360341" w14:textId="11CFD29E" w:rsidR="009A328B" w:rsidRDefault="0023042A" w:rsidP="00A26BAD">
      <w:pPr>
        <w:snapToGrid w:val="0"/>
        <w:spacing w:after="0" w:line="240" w:lineRule="auto"/>
        <w:ind w:left="708"/>
        <w:jc w:val="both"/>
      </w:pPr>
      <w:r>
        <w:t>R</w:t>
      </w:r>
      <w:r w:rsidR="009A328B" w:rsidRPr="0023042A">
        <w:t xml:space="preserve">akúske matričné orgány tým, že odmietli uznať šľachtické prvky v mene, akým je meno </w:t>
      </w:r>
      <w:r>
        <w:t>žalobcu</w:t>
      </w:r>
      <w:r w:rsidR="009A328B" w:rsidRPr="0023042A">
        <w:t xml:space="preserve"> </w:t>
      </w:r>
      <w:r w:rsidR="009A328B" w:rsidRPr="0023042A">
        <w:rPr>
          <w:b/>
          <w:bCs/>
          <w:u w:val="single"/>
        </w:rPr>
        <w:t>neprekročili rámec toho, čo je nevyhnutné</w:t>
      </w:r>
      <w:r w:rsidR="009A328B" w:rsidRPr="0023042A">
        <w:t xml:space="preserve"> na dosiahnutie základného ústavného cieľa, ktorý sledujú.</w:t>
      </w:r>
    </w:p>
    <w:p w14:paraId="6CCFC28D" w14:textId="79677C2D" w:rsidR="00A26BAD" w:rsidRDefault="00A26BAD" w:rsidP="00A26BAD">
      <w:pPr>
        <w:snapToGrid w:val="0"/>
        <w:spacing w:after="0" w:line="240" w:lineRule="auto"/>
        <w:ind w:left="708"/>
        <w:jc w:val="both"/>
      </w:pPr>
    </w:p>
    <w:p w14:paraId="2F06EB85" w14:textId="77777777" w:rsidR="00A26BAD" w:rsidRDefault="00A26BAD" w:rsidP="00A26BAD">
      <w:pPr>
        <w:snapToGrid w:val="0"/>
        <w:spacing w:after="0" w:line="240" w:lineRule="auto"/>
        <w:ind w:left="708"/>
        <w:jc w:val="both"/>
      </w:pPr>
      <w:r w:rsidRPr="00A26BAD">
        <w:t xml:space="preserve">Za týchto podmienok odmietnutie </w:t>
      </w:r>
      <w:r>
        <w:t>rakúska</w:t>
      </w:r>
      <w:r w:rsidRPr="00A26BAD">
        <w:t xml:space="preserve"> uznať všetky prvky priezviska štátneho príslušníka tohto štátu, ako bolo určené </w:t>
      </w:r>
      <w:r w:rsidRPr="00A26BAD">
        <w:rPr>
          <w:b/>
          <w:bCs/>
          <w:u w:val="single"/>
        </w:rPr>
        <w:t>v druhom členskom štáte</w:t>
      </w:r>
      <w:r w:rsidRPr="00A26BAD">
        <w:t xml:space="preserve">, ak toto priezvisko obsahuje šľachtický titul, ktorý nie je prípustný v prvom členskom štáte na základe jeho ústavného práva, </w:t>
      </w:r>
      <w:r w:rsidRPr="00A26BAD">
        <w:rPr>
          <w:b/>
          <w:bCs/>
          <w:u w:val="single"/>
        </w:rPr>
        <w:t>nemožno považovať za opatrenie, ktoré neodôvodnene zasahuje do práva občanov Únie na</w:t>
      </w:r>
      <w:r w:rsidRPr="00A26BAD">
        <w:rPr>
          <w:b/>
          <w:bCs/>
        </w:rPr>
        <w:t xml:space="preserve"> </w:t>
      </w:r>
      <w:r w:rsidRPr="00A26BAD">
        <w:t>voľný pohyb a pobyt.</w:t>
      </w:r>
    </w:p>
    <w:p w14:paraId="113416FE" w14:textId="378606DD" w:rsidR="00A26BAD" w:rsidRDefault="00A26BAD" w:rsidP="00A26BAD">
      <w:pPr>
        <w:snapToGrid w:val="0"/>
        <w:spacing w:after="0" w:line="240" w:lineRule="auto"/>
        <w:ind w:left="708"/>
        <w:jc w:val="both"/>
        <w:rPr>
          <w:b/>
          <w:bCs/>
          <w:u w:val="single"/>
        </w:rPr>
      </w:pPr>
      <w:r w:rsidRPr="00A26BAD">
        <w:t xml:space="preserve">Preto </w:t>
      </w:r>
      <w:r>
        <w:t>sa má</w:t>
      </w:r>
      <w:r w:rsidRPr="00A26BAD">
        <w:t xml:space="preserve"> článok 21 ZFEÚ vykladať v tom zmysle, že </w:t>
      </w:r>
      <w:r w:rsidRPr="00A26BAD">
        <w:rPr>
          <w:b/>
          <w:bCs/>
          <w:u w:val="single"/>
        </w:rPr>
        <w:t>nebráni tomu, aby orgány členského štátu za okolností ako sú tie vo veci samej mohli odmietnuť uznať všetky prvky priezviska štátneho príslušníka</w:t>
      </w:r>
      <w:r w:rsidRPr="00A26BAD">
        <w:t xml:space="preserve"> tohto štátu, ak opatrenia, ktoré v tejto súvislosti prijali dané orgány, sú odôvodnené verejným poriadkom, teda sú nevyhnutné na ochranu záujmov, ktoré majú zaručiť a </w:t>
      </w:r>
      <w:r w:rsidRPr="00A26BAD">
        <w:rPr>
          <w:b/>
          <w:bCs/>
          <w:u w:val="single"/>
        </w:rPr>
        <w:t>primerané legitímne sledovanému cieľu.</w:t>
      </w:r>
    </w:p>
    <w:p w14:paraId="2BC212F2" w14:textId="4F5D8C67" w:rsidR="00A26BAD" w:rsidRDefault="00A26BAD" w:rsidP="00A26BAD">
      <w:pPr>
        <w:snapToGrid w:val="0"/>
        <w:spacing w:after="0" w:line="240" w:lineRule="auto"/>
        <w:ind w:left="708"/>
        <w:jc w:val="both"/>
        <w:rPr>
          <w:b/>
          <w:bCs/>
          <w:u w:val="single"/>
        </w:rPr>
      </w:pPr>
    </w:p>
    <w:p w14:paraId="52E037FD" w14:textId="728004E2" w:rsidR="00A26BAD" w:rsidRPr="00A26BAD" w:rsidRDefault="00A26BAD" w:rsidP="00A26BAD">
      <w:pPr>
        <w:snapToGrid w:val="0"/>
        <w:spacing w:after="0" w:line="240" w:lineRule="auto"/>
        <w:ind w:left="708"/>
        <w:jc w:val="both"/>
      </w:pPr>
      <w:r>
        <w:t>(podľa rozhodnutia vo v</w:t>
      </w:r>
      <w:r w:rsidRPr="00A26BAD">
        <w:t>ec</w:t>
      </w:r>
      <w:r>
        <w:t>i</w:t>
      </w:r>
      <w:r w:rsidRPr="00A26BAD">
        <w:t xml:space="preserve"> C</w:t>
      </w:r>
      <w:r w:rsidRPr="00A26BAD">
        <w:noBreakHyphen/>
        <w:t>208/09</w:t>
      </w:r>
      <w:r>
        <w:t xml:space="preserve"> </w:t>
      </w:r>
      <w:r w:rsidRPr="00A26BAD">
        <w:t>Ilonka Sayn</w:t>
      </w:r>
      <w:r w:rsidRPr="00A26BAD">
        <w:noBreakHyphen/>
        <w:t>Wittgenstein</w:t>
      </w:r>
      <w:r>
        <w:t>)</w:t>
      </w:r>
    </w:p>
    <w:p w14:paraId="1213CC5A" w14:textId="77777777" w:rsidR="00A26BAD" w:rsidRPr="0023042A" w:rsidRDefault="00A26BAD" w:rsidP="00A26BAD">
      <w:pPr>
        <w:snapToGrid w:val="0"/>
        <w:spacing w:after="0" w:line="240" w:lineRule="auto"/>
        <w:ind w:left="708"/>
        <w:jc w:val="both"/>
      </w:pPr>
    </w:p>
    <w:p w14:paraId="2EF5DE2E" w14:textId="77777777" w:rsidR="009A328B" w:rsidRDefault="009A328B" w:rsidP="00A26BAD">
      <w:pPr>
        <w:snapToGrid w:val="0"/>
        <w:spacing w:after="0" w:line="240" w:lineRule="auto"/>
        <w:ind w:left="708"/>
        <w:jc w:val="both"/>
      </w:pPr>
    </w:p>
    <w:sectPr w:rsidR="009A32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F55B4"/>
    <w:multiLevelType w:val="hybridMultilevel"/>
    <w:tmpl w:val="AC0E0600"/>
    <w:lvl w:ilvl="0" w:tplc="7EB68C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D3195"/>
    <w:multiLevelType w:val="multilevel"/>
    <w:tmpl w:val="DB889626"/>
    <w:lvl w:ilvl="0">
      <w:start w:val="1"/>
      <w:numFmt w:val="decimal"/>
      <w:pStyle w:val="111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17D1280"/>
    <w:multiLevelType w:val="hybridMultilevel"/>
    <w:tmpl w:val="4746D65C"/>
    <w:lvl w:ilvl="0" w:tplc="3B00C3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u w:val="non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85350"/>
    <w:multiLevelType w:val="hybridMultilevel"/>
    <w:tmpl w:val="23BE8F90"/>
    <w:lvl w:ilvl="0" w:tplc="B6E4C04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u w:val="none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E65921"/>
    <w:multiLevelType w:val="hybridMultilevel"/>
    <w:tmpl w:val="5DBEB908"/>
    <w:lvl w:ilvl="0" w:tplc="041B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30E"/>
    <w:rsid w:val="000B0F98"/>
    <w:rsid w:val="000D130E"/>
    <w:rsid w:val="0023042A"/>
    <w:rsid w:val="005E74F9"/>
    <w:rsid w:val="009A328B"/>
    <w:rsid w:val="00A26BAD"/>
    <w:rsid w:val="00B57025"/>
    <w:rsid w:val="00C7001E"/>
    <w:rsid w:val="00DD4C7B"/>
    <w:rsid w:val="00EF04DE"/>
    <w:rsid w:val="00FB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2ABFA"/>
  <w15:chartTrackingRefBased/>
  <w15:docId w15:val="{76C15AD1-5996-4856-996D-F91DC6C8D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70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C700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C70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FB7B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01">
    <w:name w:val="01"/>
    <w:basedOn w:val="Normlny"/>
    <w:link w:val="01Char"/>
    <w:qFormat/>
    <w:rsid w:val="00B57025"/>
    <w:pPr>
      <w:jc w:val="both"/>
    </w:pPr>
    <w:rPr>
      <w:rFonts w:asciiTheme="majorHAnsi" w:hAnsiTheme="majorHAnsi" w:cstheme="majorHAnsi"/>
    </w:rPr>
  </w:style>
  <w:style w:type="character" w:customStyle="1" w:styleId="01Char">
    <w:name w:val="01 Char"/>
    <w:basedOn w:val="Predvolenpsmoodseku"/>
    <w:link w:val="01"/>
    <w:rsid w:val="00B57025"/>
    <w:rPr>
      <w:rFonts w:asciiTheme="majorHAnsi" w:hAnsiTheme="majorHAnsi" w:cstheme="majorHAnsi"/>
    </w:rPr>
  </w:style>
  <w:style w:type="paragraph" w:customStyle="1" w:styleId="1">
    <w:name w:val="§1"/>
    <w:basedOn w:val="Nadpis1"/>
    <w:link w:val="1Char"/>
    <w:autoRedefine/>
    <w:qFormat/>
    <w:rsid w:val="005E74F9"/>
    <w:pPr>
      <w:jc w:val="both"/>
    </w:pPr>
    <w:rPr>
      <w:b/>
      <w:color w:val="C00000"/>
    </w:rPr>
  </w:style>
  <w:style w:type="character" w:customStyle="1" w:styleId="1Char">
    <w:name w:val="§1 Char"/>
    <w:basedOn w:val="Nadpis1Char"/>
    <w:link w:val="1"/>
    <w:rsid w:val="005E74F9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Nadpis1Char">
    <w:name w:val="Nadpis 1 Char"/>
    <w:basedOn w:val="Predvolenpsmoodseku"/>
    <w:link w:val="Nadpis1"/>
    <w:uiPriority w:val="9"/>
    <w:rsid w:val="00C70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§1.1."/>
    <w:basedOn w:val="Nadpis2"/>
    <w:link w:val="11Char"/>
    <w:qFormat/>
    <w:rsid w:val="00C7001E"/>
    <w:rPr>
      <w:b/>
      <w:color w:val="000000" w:themeColor="text1"/>
    </w:rPr>
  </w:style>
  <w:style w:type="character" w:customStyle="1" w:styleId="11Char">
    <w:name w:val="§1.1. Char"/>
    <w:basedOn w:val="Nadpis2Char"/>
    <w:link w:val="11"/>
    <w:rsid w:val="00C7001E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C700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11">
    <w:name w:val="§1.1.1."/>
    <w:basedOn w:val="Nadpis3"/>
    <w:link w:val="111Char"/>
    <w:autoRedefine/>
    <w:qFormat/>
    <w:rsid w:val="005E74F9"/>
    <w:pPr>
      <w:jc w:val="both"/>
    </w:pPr>
    <w:rPr>
      <w:b/>
    </w:rPr>
  </w:style>
  <w:style w:type="character" w:customStyle="1" w:styleId="111Char">
    <w:name w:val="§1.1.1. Char"/>
    <w:basedOn w:val="Nadpis3Char"/>
    <w:link w:val="111"/>
    <w:rsid w:val="005E74F9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C70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11">
    <w:name w:val="1.1.1.1"/>
    <w:basedOn w:val="Nadpis4"/>
    <w:link w:val="1111Char"/>
    <w:qFormat/>
    <w:rsid w:val="00FB7BF4"/>
    <w:pPr>
      <w:numPr>
        <w:numId w:val="2"/>
      </w:numPr>
      <w:ind w:hanging="360"/>
      <w:jc w:val="both"/>
    </w:pPr>
    <w:rPr>
      <w:rFonts w:eastAsia="Times New Roman" w:cstheme="minorHAnsi"/>
      <w:i w:val="0"/>
      <w:color w:val="000000" w:themeColor="text1"/>
      <w:sz w:val="24"/>
      <w:szCs w:val="24"/>
      <w:lang w:eastAsia="sk-SK"/>
    </w:rPr>
  </w:style>
  <w:style w:type="character" w:customStyle="1" w:styleId="1111Char">
    <w:name w:val="1.1.1.1 Char"/>
    <w:basedOn w:val="Nadpis4Char"/>
    <w:link w:val="1111"/>
    <w:rsid w:val="00FB7BF4"/>
    <w:rPr>
      <w:rFonts w:asciiTheme="majorHAnsi" w:eastAsia="Times New Roman" w:hAnsiTheme="majorHAnsi" w:cstheme="minorHAnsi"/>
      <w:i w:val="0"/>
      <w:iCs/>
      <w:color w:val="000000" w:themeColor="text1"/>
      <w:sz w:val="24"/>
      <w:szCs w:val="24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FB7BF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dsekzoznamu">
    <w:name w:val="List Paragraph"/>
    <w:basedOn w:val="Normlny"/>
    <w:uiPriority w:val="34"/>
    <w:qFormat/>
    <w:rsid w:val="000D130E"/>
    <w:pPr>
      <w:ind w:left="720"/>
      <w:contextualSpacing/>
    </w:pPr>
  </w:style>
  <w:style w:type="paragraph" w:customStyle="1" w:styleId="c01pointnumerotealtn">
    <w:name w:val="c01pointnumerotealtn"/>
    <w:basedOn w:val="Normlny"/>
    <w:rsid w:val="000D13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s73alineacentregras">
    <w:name w:val="s73alineacentregras"/>
    <w:basedOn w:val="Normlny"/>
    <w:rsid w:val="00A26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9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Macháčová</dc:creator>
  <cp:keywords/>
  <dc:description/>
  <cp:lastModifiedBy>Emma Macháčová</cp:lastModifiedBy>
  <cp:revision>2</cp:revision>
  <dcterms:created xsi:type="dcterms:W3CDTF">2020-12-09T20:08:00Z</dcterms:created>
  <dcterms:modified xsi:type="dcterms:W3CDTF">2020-12-09T20:50:00Z</dcterms:modified>
</cp:coreProperties>
</file>