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7DAD" w14:textId="422D60EF" w:rsidR="000B0F98" w:rsidRDefault="00AB4740" w:rsidP="00181B71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181B71">
        <w:rPr>
          <w:b/>
          <w:bCs/>
          <w:u w:val="single"/>
        </w:rPr>
        <w:t>Ako by ste vyriešili spor?</w:t>
      </w:r>
    </w:p>
    <w:p w14:paraId="61EC81BF" w14:textId="77777777" w:rsidR="00181B71" w:rsidRPr="00181B71" w:rsidRDefault="00181B71" w:rsidP="00181B71">
      <w:pPr>
        <w:pStyle w:val="Odsekzoznamu"/>
        <w:jc w:val="both"/>
        <w:rPr>
          <w:b/>
          <w:bCs/>
          <w:u w:val="single"/>
        </w:rPr>
      </w:pPr>
    </w:p>
    <w:p w14:paraId="59E1CC2C" w14:textId="64A3ED7F" w:rsidR="00D47A8E" w:rsidRDefault="00D47A8E" w:rsidP="00D47A8E">
      <w:pPr>
        <w:pStyle w:val="Odsekzoznamu"/>
        <w:numPr>
          <w:ilvl w:val="0"/>
          <w:numId w:val="4"/>
        </w:numPr>
        <w:jc w:val="both"/>
      </w:pPr>
      <w:r>
        <w:t xml:space="preserve">ak prišiel na Slovensko </w:t>
      </w:r>
      <w:r w:rsidRPr="00181B71">
        <w:rPr>
          <w:b/>
          <w:bCs/>
          <w:u w:val="single"/>
        </w:rPr>
        <w:t>pred uplynutím</w:t>
      </w:r>
      <w:r>
        <w:t xml:space="preserve"> lehoty na transponovanie smernice</w:t>
      </w:r>
    </w:p>
    <w:p w14:paraId="7FDB0071" w14:textId="77777777" w:rsidR="00D47A8E" w:rsidRDefault="00D47A8E" w:rsidP="00D47A8E">
      <w:pPr>
        <w:pStyle w:val="Odsekzoznamu"/>
        <w:ind w:left="1080"/>
        <w:jc w:val="both"/>
      </w:pPr>
    </w:p>
    <w:p w14:paraId="46629CF5" w14:textId="77777777" w:rsidR="00D47A8E" w:rsidRDefault="00D47A8E" w:rsidP="00D47A8E">
      <w:pPr>
        <w:pStyle w:val="Odsekzoznamu"/>
        <w:numPr>
          <w:ilvl w:val="1"/>
          <w:numId w:val="4"/>
        </w:numPr>
        <w:jc w:val="both"/>
      </w:pPr>
      <w:r>
        <w:t xml:space="preserve">rozhodnutie SDEU vo veci </w:t>
      </w:r>
      <w:proofErr w:type="spellStart"/>
      <w:r w:rsidRPr="007C1076">
        <w:rPr>
          <w:b/>
          <w:bCs/>
          <w:u w:val="single"/>
        </w:rPr>
        <w:t>Ratti</w:t>
      </w:r>
      <w:proofErr w:type="spellEnd"/>
      <w:r>
        <w:t xml:space="preserve"> - ak niektorý členský štát začlenil ustanovenia smernice do svojho vnútroštátneho právneho poriadku </w:t>
      </w:r>
      <w:r w:rsidRPr="007C1076">
        <w:rPr>
          <w:b/>
          <w:bCs/>
          <w:u w:val="single"/>
        </w:rPr>
        <w:t>pred koncom doby</w:t>
      </w:r>
      <w:r>
        <w:t xml:space="preserve">, ktorú smernica určuje, táto skutočnosť nemôže mať </w:t>
      </w:r>
      <w:r w:rsidRPr="007C1076">
        <w:rPr>
          <w:b/>
          <w:bCs/>
          <w:u w:val="single"/>
        </w:rPr>
        <w:t>žiadny účinok vzhľadom na ostatné členské štáty</w:t>
      </w:r>
      <w:r>
        <w:t xml:space="preserve"> - pretože smernica svojou povahou zavádza povinnosti iba pre členské štáty, </w:t>
      </w:r>
      <w:r w:rsidRPr="007C1076">
        <w:rPr>
          <w:b/>
          <w:bCs/>
          <w:u w:val="single"/>
        </w:rPr>
        <w:t>nie je možné, aby sa jednotlivec odvolával na princíp „legitímnych očakávaní“ pred uplynutím doby</w:t>
      </w:r>
      <w:r>
        <w:t xml:space="preserve"> určenej na implementáciu smernice, a teda </w:t>
      </w:r>
      <w:r w:rsidRPr="007C1076">
        <w:rPr>
          <w:b/>
          <w:bCs/>
          <w:u w:val="single"/>
        </w:rPr>
        <w:t>to, že Spolkový Snem už smernicu transponoval nemá žiaden účinok</w:t>
      </w:r>
    </w:p>
    <w:p w14:paraId="502C4F33" w14:textId="77777777" w:rsidR="00D47A8E" w:rsidRPr="00D47A8E" w:rsidRDefault="00D47A8E" w:rsidP="00D47A8E">
      <w:pPr>
        <w:pStyle w:val="Odsekzoznamu"/>
        <w:numPr>
          <w:ilvl w:val="1"/>
          <w:numId w:val="4"/>
        </w:numPr>
        <w:jc w:val="both"/>
      </w:pPr>
      <w:proofErr w:type="spellStart"/>
      <w:r w:rsidRPr="00D47A8E">
        <w:rPr>
          <w:b/>
          <w:bCs/>
          <w:u w:val="single"/>
        </w:rPr>
        <w:t>Cassis</w:t>
      </w:r>
      <w:proofErr w:type="spellEnd"/>
      <w:r w:rsidRPr="00D47A8E">
        <w:rPr>
          <w:b/>
          <w:bCs/>
          <w:u w:val="single"/>
        </w:rPr>
        <w:t xml:space="preserve"> de </w:t>
      </w:r>
      <w:proofErr w:type="spellStart"/>
      <w:r w:rsidRPr="00D47A8E">
        <w:rPr>
          <w:b/>
          <w:bCs/>
          <w:u w:val="single"/>
        </w:rPr>
        <w:t>Dijon</w:t>
      </w:r>
      <w:proofErr w:type="spellEnd"/>
      <w:r>
        <w:t xml:space="preserve"> - s</w:t>
      </w:r>
      <w:r w:rsidRPr="00D47A8E">
        <w:t xml:space="preserve">úd svojím rozhodnutím vytvoril </w:t>
      </w:r>
      <w:r w:rsidRPr="00D47A8E">
        <w:rPr>
          <w:b/>
          <w:bCs/>
          <w:u w:val="single"/>
        </w:rPr>
        <w:t>princíp vzájomného uznávania</w:t>
      </w:r>
      <w:r w:rsidRPr="00D47A8E">
        <w:t xml:space="preserve">, teda že tovar v </w:t>
      </w:r>
      <w:r w:rsidRPr="00D47A8E">
        <w:rPr>
          <w:b/>
          <w:bCs/>
          <w:u w:val="single"/>
        </w:rPr>
        <w:t>súlade s právom vyrábané a obchodované v jednom členskom štáte môže dovážať do iných členských štátov</w:t>
      </w:r>
      <w:r w:rsidRPr="00D47A8E">
        <w:t>.</w:t>
      </w:r>
      <w:r>
        <w:t xml:space="preserve"> </w:t>
      </w:r>
      <w:r w:rsidRPr="00D47A8E">
        <w:t xml:space="preserve">Ďalej súd stanovil, že "prekážky pohybu v rámci spoločenstva, ktoré sú dôsledkom rozdielnej národnej právnej úpravy týkajúcej sa obchodu týchto výrobkov, môžu byť </w:t>
      </w:r>
      <w:r w:rsidRPr="00D47A8E">
        <w:rPr>
          <w:b/>
          <w:bCs/>
          <w:u w:val="single"/>
        </w:rPr>
        <w:t>akceptované</w:t>
      </w:r>
      <w:r w:rsidRPr="00D47A8E">
        <w:t xml:space="preserve"> len potiaľ, pokiaľ takéto ustanovenia sú uznaná za nevyhnutné na splnenie oprávnených požiadaviek vyplývajúcich najmä z potreby efektívneho fiškálneho dohľadu, </w:t>
      </w:r>
      <w:r w:rsidRPr="00D47A8E">
        <w:rPr>
          <w:b/>
          <w:bCs/>
          <w:u w:val="single"/>
        </w:rPr>
        <w:t>ochrany verejného zdravia</w:t>
      </w:r>
      <w:r w:rsidRPr="00D47A8E">
        <w:t>, poctivých obchodných transakcií a ochrany spotrebiteľa. </w:t>
      </w:r>
      <w:r>
        <w:rPr>
          <w:b/>
          <w:bCs/>
          <w:u w:val="single"/>
        </w:rPr>
        <w:t>Bolo by podstatné, či na Slovensku sú dostupné podobné prípravky</w:t>
      </w:r>
    </w:p>
    <w:p w14:paraId="3AA7FEAB" w14:textId="77777777" w:rsidR="00D47A8E" w:rsidRDefault="00D47A8E" w:rsidP="00D47A8E">
      <w:pPr>
        <w:pStyle w:val="Odsekzoznamu"/>
        <w:ind w:left="1080"/>
        <w:jc w:val="both"/>
      </w:pPr>
    </w:p>
    <w:p w14:paraId="06F7B680" w14:textId="252940CF" w:rsidR="00181B71" w:rsidRDefault="00181B71" w:rsidP="00181B71">
      <w:pPr>
        <w:pStyle w:val="Odsekzoznamu"/>
        <w:numPr>
          <w:ilvl w:val="0"/>
          <w:numId w:val="4"/>
        </w:numPr>
        <w:jc w:val="both"/>
      </w:pPr>
      <w:r>
        <w:t xml:space="preserve">ak prišiel </w:t>
      </w:r>
      <w:r w:rsidRPr="00181B71">
        <w:rPr>
          <w:b/>
          <w:bCs/>
          <w:u w:val="single"/>
        </w:rPr>
        <w:t>po uplynutí</w:t>
      </w:r>
      <w:r>
        <w:t xml:space="preserve"> lehoty na transponovanie smernice</w:t>
      </w:r>
    </w:p>
    <w:p w14:paraId="5A728AD4" w14:textId="77777777" w:rsidR="0083787E" w:rsidRDefault="0083787E" w:rsidP="0083787E">
      <w:pPr>
        <w:pStyle w:val="Odsekzoznamu"/>
        <w:ind w:left="1080"/>
        <w:jc w:val="both"/>
      </w:pPr>
    </w:p>
    <w:p w14:paraId="5ABBC9C7" w14:textId="5AADE1EB" w:rsidR="007C1076" w:rsidRPr="007C1076" w:rsidRDefault="007C1076" w:rsidP="0083787E">
      <w:pPr>
        <w:pStyle w:val="Odsekzoznamu"/>
        <w:numPr>
          <w:ilvl w:val="1"/>
          <w:numId w:val="4"/>
        </w:numPr>
        <w:jc w:val="both"/>
      </w:pPr>
      <w:r>
        <w:t>podľa čl. 288 a 289 ZFEU mala byť daná smernica už transponovaná:</w:t>
      </w:r>
    </w:p>
    <w:p w14:paraId="50839966" w14:textId="0B5FF411" w:rsidR="0083787E" w:rsidRDefault="0083787E" w:rsidP="0083787E">
      <w:pPr>
        <w:pStyle w:val="Odsekzoznamu"/>
        <w:numPr>
          <w:ilvl w:val="1"/>
          <w:numId w:val="4"/>
        </w:numPr>
        <w:jc w:val="both"/>
      </w:pPr>
      <w:r w:rsidRPr="0083787E">
        <w:rPr>
          <w:b/>
          <w:bCs/>
          <w:u w:val="single"/>
        </w:rPr>
        <w:t xml:space="preserve">priamy účinok smerníc </w:t>
      </w:r>
      <w:r>
        <w:rPr>
          <w:b/>
          <w:bCs/>
        </w:rPr>
        <w:t xml:space="preserve">- </w:t>
      </w:r>
      <w:r w:rsidRPr="00181B71">
        <w:t>Prijatím novej smernice vzniknú dotknutým členským štátom dve povinnosti:</w:t>
      </w:r>
      <w:r>
        <w:t xml:space="preserve"> </w:t>
      </w:r>
      <w:r w:rsidRPr="00181B71">
        <w:t xml:space="preserve">implementovať smernicu </w:t>
      </w:r>
      <w:r w:rsidRPr="0083787E">
        <w:rPr>
          <w:b/>
          <w:bCs/>
          <w:u w:val="single"/>
        </w:rPr>
        <w:t>včas</w:t>
      </w:r>
      <w:r w:rsidRPr="00181B71">
        <w:t xml:space="preserve"> </w:t>
      </w:r>
      <w:r>
        <w:t xml:space="preserve">a </w:t>
      </w:r>
      <w:r w:rsidRPr="00181B71">
        <w:t xml:space="preserve">implementovať smernicu </w:t>
      </w:r>
      <w:r w:rsidRPr="0083787E">
        <w:rPr>
          <w:b/>
          <w:bCs/>
          <w:u w:val="single"/>
        </w:rPr>
        <w:t>správne</w:t>
      </w:r>
      <w:r w:rsidRPr="00181B71">
        <w:t>.</w:t>
      </w:r>
      <w:r>
        <w:t xml:space="preserve"> </w:t>
      </w:r>
      <w:r w:rsidRPr="00181B71">
        <w:t xml:space="preserve">Doktrína </w:t>
      </w:r>
      <w:r w:rsidRPr="0083787E">
        <w:rPr>
          <w:b/>
          <w:bCs/>
          <w:u w:val="single"/>
        </w:rPr>
        <w:t>priamej účinnosti smerníc</w:t>
      </w:r>
      <w:r w:rsidRPr="00181B71">
        <w:t xml:space="preserve"> bola vytvorená </w:t>
      </w:r>
      <w:r>
        <w:t xml:space="preserve">SDEU </w:t>
      </w:r>
      <w:r w:rsidRPr="00181B71">
        <w:t xml:space="preserve">s cieľom vyriešiť situáciu, keď členský štát </w:t>
      </w:r>
      <w:r w:rsidRPr="0083787E">
        <w:rPr>
          <w:b/>
          <w:bCs/>
          <w:u w:val="single"/>
        </w:rPr>
        <w:t>neimplementoval smernicu v určenej lehote</w:t>
      </w:r>
      <w:r w:rsidRPr="00181B71">
        <w:t xml:space="preserve"> resp. určeným spôsobom a zároveň sú splnené podmienky na priznanie priamej účinnosti.</w:t>
      </w:r>
      <w:r>
        <w:t xml:space="preserve"> Takto</w:t>
      </w:r>
      <w:r w:rsidRPr="00181B71">
        <w:t xml:space="preserve"> priznal Súdny dvor EÚ smerniciam v určitých prípadoch obdobný účinok, aký majú nariadenia.</w:t>
      </w:r>
      <w:r>
        <w:t xml:space="preserve"> (</w:t>
      </w:r>
      <w:r w:rsidRPr="0083787E">
        <w:rPr>
          <w:b/>
          <w:bCs/>
          <w:u w:val="single"/>
        </w:rPr>
        <w:t xml:space="preserve">Van </w:t>
      </w:r>
      <w:proofErr w:type="spellStart"/>
      <w:r w:rsidRPr="0083787E">
        <w:rPr>
          <w:b/>
          <w:bCs/>
          <w:u w:val="single"/>
        </w:rPr>
        <w:t>Duyn</w:t>
      </w:r>
      <w:proofErr w:type="spellEnd"/>
      <w:r>
        <w:t>) Podľa SDEU, z</w:t>
      </w:r>
      <w:r w:rsidRPr="0083787E">
        <w:t xml:space="preserve">nením smerníc nie sú </w:t>
      </w:r>
      <w:r w:rsidRPr="0083787E">
        <w:rPr>
          <w:b/>
          <w:bCs/>
          <w:u w:val="single"/>
        </w:rPr>
        <w:t>zaviazané</w:t>
      </w:r>
      <w:r w:rsidRPr="0083787E">
        <w:t xml:space="preserve"> len vnútroštátne súdy, ale aj </w:t>
      </w:r>
      <w:r w:rsidRPr="0083787E">
        <w:rPr>
          <w:b/>
          <w:bCs/>
          <w:u w:val="single"/>
        </w:rPr>
        <w:t>ostatné orgány verejnej moci</w:t>
      </w:r>
      <w:r w:rsidRPr="0083787E">
        <w:t>, ako aj iné verejné orgány. Cieľ smerníc je záväzný pre všetky orgány, ktoré sú na základe rozhodnutia štátu zodpovedné za poskytovanie verejných služieb</w:t>
      </w:r>
      <w:r>
        <w:t>.</w:t>
      </w:r>
    </w:p>
    <w:p w14:paraId="7B22EAEB" w14:textId="5D4C8A7F" w:rsidR="002C7F31" w:rsidRDefault="002C7F31" w:rsidP="002C7F31">
      <w:pPr>
        <w:pStyle w:val="Odsekzoznamu"/>
        <w:numPr>
          <w:ilvl w:val="1"/>
          <w:numId w:val="4"/>
        </w:numPr>
        <w:jc w:val="both"/>
      </w:pPr>
      <w:r>
        <w:t xml:space="preserve">rozhodnutie SDEU vo veci </w:t>
      </w:r>
      <w:proofErr w:type="spellStart"/>
      <w:r>
        <w:t>Marshall</w:t>
      </w:r>
      <w:proofErr w:type="spellEnd"/>
    </w:p>
    <w:p w14:paraId="1EE34614" w14:textId="77777777" w:rsidR="002C7F31" w:rsidRPr="00181B71" w:rsidRDefault="002C7F31" w:rsidP="002C7F31">
      <w:pPr>
        <w:pStyle w:val="Odsekzoznamu"/>
        <w:ind w:left="1800"/>
        <w:jc w:val="both"/>
      </w:pPr>
    </w:p>
    <w:p w14:paraId="679B6BCE" w14:textId="2273D39E" w:rsidR="0083787E" w:rsidRPr="007C1076" w:rsidRDefault="0083787E" w:rsidP="0083787E">
      <w:pPr>
        <w:pStyle w:val="Odsekzoznamu"/>
        <w:numPr>
          <w:ilvl w:val="1"/>
          <w:numId w:val="4"/>
        </w:numPr>
        <w:jc w:val="both"/>
        <w:rPr>
          <w:b/>
          <w:bCs/>
          <w:u w:val="single"/>
        </w:rPr>
      </w:pPr>
      <w:r w:rsidRPr="007C1076">
        <w:rPr>
          <w:b/>
          <w:bCs/>
          <w:u w:val="single"/>
        </w:rPr>
        <w:t xml:space="preserve">v tomto prípade boli dodržané podmienky pre aplikáciu doktríny priameho účinku smerníc, a teda pán </w:t>
      </w:r>
      <w:proofErr w:type="spellStart"/>
      <w:r w:rsidRPr="007C1076">
        <w:rPr>
          <w:b/>
          <w:bCs/>
          <w:u w:val="single"/>
        </w:rPr>
        <w:t>Hermann</w:t>
      </w:r>
      <w:proofErr w:type="spellEnd"/>
      <w:r w:rsidRPr="007C1076">
        <w:rPr>
          <w:b/>
          <w:bCs/>
          <w:u w:val="single"/>
        </w:rPr>
        <w:t xml:space="preserve"> nemohol byť zatknutý</w:t>
      </w:r>
      <w:r w:rsidR="007C1076">
        <w:rPr>
          <w:b/>
          <w:bCs/>
          <w:u w:val="single"/>
        </w:rPr>
        <w:t>, keďže orgány verejnej moci mali rešpektovať smernicu</w:t>
      </w:r>
    </w:p>
    <w:p w14:paraId="05FAC790" w14:textId="77777777" w:rsidR="00181B71" w:rsidRDefault="00181B71" w:rsidP="00D47A8E">
      <w:pPr>
        <w:jc w:val="both"/>
      </w:pPr>
    </w:p>
    <w:p w14:paraId="65BF99F2" w14:textId="124E3D37" w:rsidR="00AB4740" w:rsidRDefault="00AB4740" w:rsidP="00181B71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D47A8E">
        <w:rPr>
          <w:b/>
          <w:bCs/>
          <w:u w:val="single"/>
        </w:rPr>
        <w:t>Je možné použiť argument transpozície smernice v Nemecku?</w:t>
      </w:r>
    </w:p>
    <w:p w14:paraId="5E8F264B" w14:textId="77777777" w:rsidR="00866499" w:rsidRDefault="00866499" w:rsidP="00866499">
      <w:pPr>
        <w:pStyle w:val="Odsekzoznamu"/>
        <w:jc w:val="both"/>
        <w:rPr>
          <w:b/>
          <w:bCs/>
          <w:u w:val="single"/>
        </w:rPr>
      </w:pPr>
    </w:p>
    <w:p w14:paraId="2A284B21" w14:textId="1EF016A4" w:rsidR="00D47A8E" w:rsidRDefault="00D47A8E" w:rsidP="00D47A8E">
      <w:pPr>
        <w:pStyle w:val="Odsekzoznamu"/>
        <w:numPr>
          <w:ilvl w:val="0"/>
          <w:numId w:val="6"/>
        </w:numPr>
        <w:jc w:val="both"/>
        <w:rPr>
          <w:b/>
          <w:bCs/>
          <w:u w:val="single"/>
        </w:rPr>
      </w:pPr>
      <w:r>
        <w:t>smernicu musia transponovať všetky členské štáty podľa čl. 288 ZFEU, ale:</w:t>
      </w:r>
    </w:p>
    <w:p w14:paraId="0FF7973E" w14:textId="00CA2E22" w:rsidR="00D47A8E" w:rsidRDefault="00D47A8E" w:rsidP="00D47A8E">
      <w:pPr>
        <w:pStyle w:val="Odsekzoznamu"/>
        <w:numPr>
          <w:ilvl w:val="0"/>
          <w:numId w:val="6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pred uplynutím doby na transponovanie smernice:</w:t>
      </w:r>
      <w:r>
        <w:t xml:space="preserve"> nie, rozhodnutie SDEU vo veci </w:t>
      </w:r>
      <w:proofErr w:type="spellStart"/>
      <w:r w:rsidRPr="007C1076">
        <w:rPr>
          <w:b/>
          <w:bCs/>
          <w:u w:val="single"/>
        </w:rPr>
        <w:t>Ratti</w:t>
      </w:r>
      <w:proofErr w:type="spellEnd"/>
      <w:r>
        <w:t xml:space="preserve"> - ak </w:t>
      </w:r>
      <w:r w:rsidRPr="00D47A8E">
        <w:rPr>
          <w:b/>
          <w:bCs/>
          <w:u w:val="single"/>
        </w:rPr>
        <w:t>niektorý členský štát začlenil ustanovenia smernice</w:t>
      </w:r>
      <w:r>
        <w:t xml:space="preserve"> do svojho vnútroštátneho právneho poriadku </w:t>
      </w:r>
      <w:r w:rsidRPr="007C1076">
        <w:rPr>
          <w:b/>
          <w:bCs/>
          <w:u w:val="single"/>
        </w:rPr>
        <w:t>pred koncom doby</w:t>
      </w:r>
      <w:r>
        <w:t xml:space="preserve">, ktorú smernica určuje, táto skutočnosť nemôže mať </w:t>
      </w:r>
      <w:r w:rsidRPr="007C1076">
        <w:rPr>
          <w:b/>
          <w:bCs/>
          <w:u w:val="single"/>
        </w:rPr>
        <w:t>žiadny účinok vzhľadom na ostatné členské štáty</w:t>
      </w:r>
      <w:r>
        <w:t xml:space="preserve"> - pretože smernica svojou povahou </w:t>
      </w:r>
      <w:r>
        <w:lastRenderedPageBreak/>
        <w:t xml:space="preserve">zavádza povinnosti iba pre členské štáty, </w:t>
      </w:r>
      <w:r w:rsidRPr="007C1076">
        <w:rPr>
          <w:b/>
          <w:bCs/>
          <w:u w:val="single"/>
        </w:rPr>
        <w:t>nie je možné, aby sa jednotlivec odvolával na princíp „legitímnych očakávaní“ pred uplynutím doby</w:t>
      </w:r>
    </w:p>
    <w:p w14:paraId="08BCA2B4" w14:textId="77777777" w:rsidR="00D47A8E" w:rsidRPr="00D47A8E" w:rsidRDefault="00D47A8E" w:rsidP="00D47A8E">
      <w:pPr>
        <w:pStyle w:val="Odsekzoznamu"/>
        <w:jc w:val="both"/>
      </w:pPr>
    </w:p>
    <w:p w14:paraId="3D7739F0" w14:textId="5C6A09BE" w:rsidR="00AB4740" w:rsidRDefault="00AB4740" w:rsidP="00181B71">
      <w:pPr>
        <w:pStyle w:val="Odsekzoznamu"/>
        <w:numPr>
          <w:ilvl w:val="0"/>
          <w:numId w:val="3"/>
        </w:numPr>
        <w:jc w:val="both"/>
        <w:rPr>
          <w:b/>
          <w:bCs/>
          <w:u w:val="single"/>
        </w:rPr>
      </w:pPr>
      <w:r w:rsidRPr="00D47A8E">
        <w:rPr>
          <w:b/>
          <w:bCs/>
          <w:u w:val="single"/>
        </w:rPr>
        <w:t>Je relevantné, že v Nemecku je obchodovanie s kryptonitom dovolené?</w:t>
      </w:r>
    </w:p>
    <w:p w14:paraId="6B04B588" w14:textId="77777777" w:rsidR="002C7F31" w:rsidRPr="00D47A8E" w:rsidRDefault="002C7F31" w:rsidP="002C7F31">
      <w:pPr>
        <w:pStyle w:val="Odsekzoznamu"/>
        <w:jc w:val="both"/>
        <w:rPr>
          <w:b/>
          <w:bCs/>
          <w:u w:val="single"/>
        </w:rPr>
      </w:pPr>
    </w:p>
    <w:p w14:paraId="120DDE6E" w14:textId="424DA757" w:rsidR="00AB4740" w:rsidRDefault="002C7F31" w:rsidP="002C7F31">
      <w:pPr>
        <w:pStyle w:val="Odsekzoznamu"/>
        <w:numPr>
          <w:ilvl w:val="0"/>
          <w:numId w:val="6"/>
        </w:numPr>
        <w:jc w:val="both"/>
      </w:pPr>
      <w:proofErr w:type="spellStart"/>
      <w:r>
        <w:t>ano</w:t>
      </w:r>
      <w:proofErr w:type="spellEnd"/>
      <w:r>
        <w:t xml:space="preserve">, pre rozhodnutie SDEU vo veci </w:t>
      </w:r>
      <w:proofErr w:type="spellStart"/>
      <w:r w:rsidRPr="00D47A8E">
        <w:rPr>
          <w:b/>
          <w:bCs/>
          <w:u w:val="single"/>
        </w:rPr>
        <w:t>Cassis</w:t>
      </w:r>
      <w:proofErr w:type="spellEnd"/>
      <w:r w:rsidRPr="00D47A8E">
        <w:rPr>
          <w:b/>
          <w:bCs/>
          <w:u w:val="single"/>
        </w:rPr>
        <w:t xml:space="preserve"> de </w:t>
      </w:r>
      <w:proofErr w:type="spellStart"/>
      <w:r w:rsidRPr="00D47A8E">
        <w:rPr>
          <w:b/>
          <w:bCs/>
          <w:u w:val="single"/>
        </w:rPr>
        <w:t>Dijon</w:t>
      </w:r>
      <w:proofErr w:type="spellEnd"/>
      <w:r>
        <w:t xml:space="preserve"> - s</w:t>
      </w:r>
      <w:r w:rsidRPr="00D47A8E">
        <w:t xml:space="preserve">úd svojím rozhodnutím vytvoril </w:t>
      </w:r>
      <w:r w:rsidRPr="00D47A8E">
        <w:rPr>
          <w:b/>
          <w:bCs/>
          <w:u w:val="single"/>
        </w:rPr>
        <w:t>princíp vzájomného uznávania</w:t>
      </w:r>
      <w:r w:rsidRPr="00D47A8E">
        <w:t xml:space="preserve">, teda že tovar v </w:t>
      </w:r>
      <w:r w:rsidRPr="00D47A8E">
        <w:rPr>
          <w:b/>
          <w:bCs/>
          <w:u w:val="single"/>
        </w:rPr>
        <w:t>súlade s právom vyrábané a obchodované v jednom členskom štáte môže dovážať do iných členských štátov</w:t>
      </w:r>
      <w:r w:rsidRPr="00D47A8E">
        <w:t>.</w:t>
      </w:r>
    </w:p>
    <w:sectPr w:rsidR="00AB4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B4BC0"/>
    <w:multiLevelType w:val="multilevel"/>
    <w:tmpl w:val="71680C34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7014F1"/>
    <w:multiLevelType w:val="hybridMultilevel"/>
    <w:tmpl w:val="8256B94C"/>
    <w:lvl w:ilvl="0" w:tplc="4BE61C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06F01"/>
    <w:multiLevelType w:val="hybridMultilevel"/>
    <w:tmpl w:val="E9D2BD7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A5CF8"/>
    <w:multiLevelType w:val="hybridMultilevel"/>
    <w:tmpl w:val="DEFE454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2F3842"/>
    <w:multiLevelType w:val="multilevel"/>
    <w:tmpl w:val="1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16"/>
    <w:rsid w:val="000B0F98"/>
    <w:rsid w:val="00181B71"/>
    <w:rsid w:val="002347A8"/>
    <w:rsid w:val="002C7F31"/>
    <w:rsid w:val="005E74F9"/>
    <w:rsid w:val="007C1076"/>
    <w:rsid w:val="0083787E"/>
    <w:rsid w:val="00866499"/>
    <w:rsid w:val="00AB4740"/>
    <w:rsid w:val="00B57025"/>
    <w:rsid w:val="00B92FE2"/>
    <w:rsid w:val="00C7001E"/>
    <w:rsid w:val="00D47A8E"/>
    <w:rsid w:val="00F37516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2998"/>
  <w15:chartTrackingRefBased/>
  <w15:docId w15:val="{6111917E-3536-493F-841E-B0E6D295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AB474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8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BD11C802-8FAA-4366-84DF-3BBE4A74E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5</cp:revision>
  <dcterms:created xsi:type="dcterms:W3CDTF">2020-12-09T09:10:00Z</dcterms:created>
  <dcterms:modified xsi:type="dcterms:W3CDTF">2020-12-10T16:59:00Z</dcterms:modified>
</cp:coreProperties>
</file>